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8186E" w:rsidRDefault="00A82C5B" w:rsidP="0068186E">
      <w:pPr>
        <w:pStyle w:val="Titolocopertina"/>
        <w:ind w:left="284"/>
      </w:pPr>
      <w:r>
        <w:t xml:space="preserve">GARA PER </w:t>
      </w:r>
      <w:r w:rsidR="0068186E">
        <w:t xml:space="preserve">LA FORNITURA DI ENERGIA ELETTRICA </w:t>
      </w:r>
    </w:p>
    <w:p w:rsidR="0068186E" w:rsidRDefault="0068186E" w:rsidP="0068186E">
      <w:pPr>
        <w:pStyle w:val="Titolocopertina"/>
        <w:ind w:left="284"/>
      </w:pPr>
      <w:r>
        <w:t>E DEI SERVIZI CONNESSI PER LE PUBBLICHE AMMINISTRAZIONI</w:t>
      </w:r>
    </w:p>
    <w:p w:rsidR="006C414B" w:rsidRDefault="006C414B">
      <w:pPr>
        <w:pStyle w:val="Titolocopertina"/>
        <w:ind w:left="284"/>
      </w:pPr>
    </w:p>
    <w:p w:rsidR="0068186E" w:rsidRDefault="0068186E">
      <w:pPr>
        <w:pStyle w:val="Titolocopertina"/>
        <w:ind w:left="284"/>
      </w:pPr>
      <w:r>
        <w:t>EDIZIONE 22</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8186E" w:rsidRPr="00BF13C1" w:rsidRDefault="0068186E" w:rsidP="0068186E">
      <w:pPr>
        <w:pStyle w:val="Titoli14bold"/>
        <w:ind w:left="284"/>
      </w:pPr>
      <w:r w:rsidRPr="00BF13C1">
        <w:t>DOCUMENTO DI CONSULTAZIONE DEL MERCATO</w:t>
      </w:r>
    </w:p>
    <w:p w:rsidR="006C414B" w:rsidRDefault="0068186E" w:rsidP="0068186E">
      <w:pPr>
        <w:pStyle w:val="Titoli14bold"/>
        <w:ind w:left="284"/>
      </w:pPr>
      <w:r w:rsidRPr="00BF13C1">
        <w:t xml:space="preserve">QUESTIONARIO </w:t>
      </w:r>
      <w:r>
        <w:t>TECNICO-</w:t>
      </w:r>
      <w:r w:rsidRPr="00BF13C1">
        <w:t>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0B25EC">
      <w:pPr>
        <w:spacing w:line="276" w:lineRule="auto"/>
        <w:ind w:left="284"/>
        <w:jc w:val="both"/>
        <w:rPr>
          <w:rFonts w:asciiTheme="minorHAnsi" w:hAnsiTheme="minorHAnsi" w:cs="Arial"/>
          <w:bCs/>
          <w:sz w:val="20"/>
          <w:szCs w:val="20"/>
        </w:rPr>
      </w:pPr>
      <w:hyperlink r:id="rId8" w:history="1">
        <w:r w:rsidR="00EF0EFF" w:rsidRPr="00943745">
          <w:rPr>
            <w:rStyle w:val="Collegamentoipertestuale"/>
            <w:rFonts w:asciiTheme="minorHAnsi" w:hAnsiTheme="minorHAnsi" w:cs="Arial"/>
            <w:b/>
            <w:i/>
            <w:sz w:val="20"/>
            <w:szCs w:val="20"/>
          </w:rPr>
          <w:t>seusconsip@postacert.consip.it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Cs/>
          <w:color w:val="0070C0"/>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EF0EFF" w:rsidRDefault="00A82C5B">
      <w:pPr>
        <w:spacing w:line="276" w:lineRule="auto"/>
        <w:ind w:left="284"/>
        <w:jc w:val="both"/>
        <w:rPr>
          <w:rFonts w:asciiTheme="minorHAnsi" w:hAnsiTheme="minorHAnsi" w:cs="Arial"/>
          <w:bCs/>
          <w:sz w:val="20"/>
          <w:szCs w:val="20"/>
        </w:rPr>
      </w:pPr>
      <w:r w:rsidRPr="002A6A9A">
        <w:rPr>
          <w:rFonts w:asciiTheme="minorHAnsi" w:hAnsiTheme="minorHAnsi" w:cs="Arial"/>
          <w:bCs/>
          <w:sz w:val="20"/>
          <w:szCs w:val="20"/>
        </w:rPr>
        <w:t xml:space="preserve">Roma, </w:t>
      </w:r>
      <w:r w:rsidR="002A6A9A" w:rsidRPr="002A6A9A">
        <w:rPr>
          <w:rFonts w:asciiTheme="minorHAnsi" w:hAnsiTheme="minorHAnsi" w:cs="Arial"/>
          <w:bCs/>
          <w:sz w:val="20"/>
          <w:szCs w:val="20"/>
        </w:rPr>
        <w:t>29</w:t>
      </w:r>
      <w:r w:rsidR="00EF0EFF" w:rsidRPr="002A6A9A">
        <w:rPr>
          <w:rFonts w:asciiTheme="minorHAnsi" w:hAnsiTheme="minorHAnsi" w:cs="Arial"/>
          <w:bCs/>
          <w:sz w:val="20"/>
          <w:szCs w:val="20"/>
        </w:rPr>
        <w:t>/02/2024</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EF0EFF" w:rsidRDefault="00A82C5B" w:rsidP="00EF0EFF">
      <w:pPr>
        <w:spacing w:line="276" w:lineRule="auto"/>
        <w:ind w:left="284"/>
        <w:jc w:val="both"/>
        <w:rPr>
          <w:rFonts w:asciiTheme="minorHAnsi" w:hAnsiTheme="minorHAnsi" w:cs="Arial"/>
          <w:bCs/>
          <w:sz w:val="20"/>
          <w:szCs w:val="20"/>
        </w:rPr>
      </w:pPr>
      <w:r w:rsidRPr="00EF0EFF">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EF0EFF">
        <w:rPr>
          <w:rFonts w:asciiTheme="minorHAnsi" w:hAnsiTheme="minorHAnsi" w:cs="Arial"/>
          <w:bCs/>
          <w:sz w:val="20"/>
          <w:szCs w:val="20"/>
        </w:rPr>
        <w:t>s.m.i.</w:t>
      </w:r>
      <w:proofErr w:type="spellEnd"/>
      <w:r w:rsidRPr="00EF0EFF">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Pr="00EF0EFF" w:rsidRDefault="00A82C5B" w:rsidP="00EF0EFF">
      <w:pPr>
        <w:pStyle w:val="BodyText21"/>
        <w:spacing w:line="276" w:lineRule="auto"/>
        <w:ind w:left="284"/>
        <w:rPr>
          <w:rFonts w:ascii="Calibri" w:hAnsi="Calibri" w:cs="Arial"/>
          <w:sz w:val="20"/>
          <w:szCs w:val="20"/>
        </w:rPr>
      </w:pPr>
      <w:r w:rsidRPr="00EF0EFF">
        <w:rPr>
          <w:rFonts w:ascii="Calibri" w:hAnsi="Calibri" w:cs="Arial"/>
          <w:sz w:val="20"/>
          <w:szCs w:val="20"/>
        </w:rPr>
        <w:t>Il presente documento di consultazione del mercato</w:t>
      </w:r>
      <w:r w:rsidR="00046B5D" w:rsidRPr="00EF0EFF">
        <w:rPr>
          <w:rFonts w:ascii="Calibri" w:hAnsi="Calibri" w:cs="Arial"/>
          <w:sz w:val="20"/>
          <w:szCs w:val="20"/>
        </w:rPr>
        <w:t xml:space="preserve"> </w:t>
      </w:r>
      <w:r w:rsidRPr="00EF0EFF">
        <w:rPr>
          <w:rFonts w:ascii="Calibri" w:hAnsi="Calibri" w:cs="Arial"/>
          <w:sz w:val="20"/>
          <w:szCs w:val="20"/>
        </w:rPr>
        <w:t xml:space="preserve">ha l’obiettivo di: </w:t>
      </w:r>
    </w:p>
    <w:p w:rsidR="006C414B" w:rsidRPr="00EF0EFF" w:rsidRDefault="00A82C5B" w:rsidP="00547D05">
      <w:pPr>
        <w:pStyle w:val="BodyText21"/>
        <w:numPr>
          <w:ilvl w:val="0"/>
          <w:numId w:val="2"/>
        </w:numPr>
        <w:tabs>
          <w:tab w:val="num" w:pos="360"/>
        </w:tabs>
        <w:spacing w:line="276" w:lineRule="auto"/>
        <w:ind w:left="568" w:hanging="284"/>
        <w:rPr>
          <w:rFonts w:ascii="Calibri" w:hAnsi="Calibri" w:cs="Arial"/>
          <w:sz w:val="20"/>
          <w:szCs w:val="20"/>
        </w:rPr>
      </w:pPr>
      <w:r w:rsidRPr="00EF0EFF">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EF0EFF" w:rsidRDefault="00A82C5B" w:rsidP="00547D05">
      <w:pPr>
        <w:pStyle w:val="BodyText21"/>
        <w:numPr>
          <w:ilvl w:val="0"/>
          <w:numId w:val="2"/>
        </w:numPr>
        <w:tabs>
          <w:tab w:val="num" w:pos="360"/>
        </w:tabs>
        <w:spacing w:line="276" w:lineRule="auto"/>
        <w:ind w:left="568" w:hanging="284"/>
        <w:rPr>
          <w:rFonts w:ascii="Calibri" w:hAnsi="Calibri" w:cs="Arial"/>
          <w:sz w:val="20"/>
          <w:szCs w:val="20"/>
        </w:rPr>
      </w:pPr>
      <w:r w:rsidRPr="00EF0EFF">
        <w:rPr>
          <w:rFonts w:ascii="Calibri" w:hAnsi="Calibri" w:cs="Arial"/>
          <w:sz w:val="20"/>
          <w:szCs w:val="20"/>
        </w:rPr>
        <w:t>ottenere la più proficua partecipazione da parte dei soggetti interessati;</w:t>
      </w:r>
    </w:p>
    <w:p w:rsidR="006C414B" w:rsidRPr="00EF0EFF" w:rsidRDefault="00A82C5B" w:rsidP="00547D05">
      <w:pPr>
        <w:pStyle w:val="BodyText21"/>
        <w:numPr>
          <w:ilvl w:val="0"/>
          <w:numId w:val="2"/>
        </w:numPr>
        <w:tabs>
          <w:tab w:val="num" w:pos="360"/>
        </w:tabs>
        <w:spacing w:line="276" w:lineRule="auto"/>
        <w:ind w:left="568" w:hanging="284"/>
        <w:rPr>
          <w:rFonts w:ascii="Calibri" w:hAnsi="Calibri" w:cs="Arial"/>
          <w:sz w:val="20"/>
          <w:szCs w:val="20"/>
        </w:rPr>
      </w:pPr>
      <w:r w:rsidRPr="00EF0EFF">
        <w:rPr>
          <w:rFonts w:ascii="Calibri" w:hAnsi="Calibri" w:cs="Arial"/>
          <w:sz w:val="20"/>
          <w:szCs w:val="20"/>
        </w:rPr>
        <w:t>pubblicizzare al meglio le caratteristiche qualitative e tecniche dei beni e servizi oggetto di analisi;</w:t>
      </w:r>
    </w:p>
    <w:p w:rsidR="006C414B" w:rsidRPr="00EF0EFF" w:rsidRDefault="00A82C5B" w:rsidP="00547D05">
      <w:pPr>
        <w:pStyle w:val="BodyText21"/>
        <w:numPr>
          <w:ilvl w:val="0"/>
          <w:numId w:val="2"/>
        </w:numPr>
        <w:tabs>
          <w:tab w:val="num" w:pos="360"/>
        </w:tabs>
        <w:spacing w:line="276" w:lineRule="auto"/>
        <w:ind w:left="568" w:hanging="284"/>
        <w:rPr>
          <w:rFonts w:ascii="Calibri" w:hAnsi="Calibri" w:cs="Arial"/>
          <w:sz w:val="20"/>
          <w:szCs w:val="20"/>
        </w:rPr>
      </w:pPr>
      <w:r w:rsidRPr="00EF0EFF">
        <w:rPr>
          <w:rFonts w:ascii="Calibri" w:hAnsi="Calibri" w:cs="Arial"/>
          <w:sz w:val="20"/>
          <w:szCs w:val="20"/>
        </w:rPr>
        <w:t>ricevere, da parte dei soggetti interessati, osservazioni e suggerimenti per una più compiuta conoscenza del mercato;</w:t>
      </w:r>
    </w:p>
    <w:p w:rsidR="006C414B" w:rsidRPr="00EF0EFF" w:rsidRDefault="00A82C5B" w:rsidP="00547D05">
      <w:pPr>
        <w:pStyle w:val="BodyText21"/>
        <w:numPr>
          <w:ilvl w:val="0"/>
          <w:numId w:val="2"/>
        </w:numPr>
        <w:tabs>
          <w:tab w:val="num" w:pos="360"/>
        </w:tabs>
        <w:spacing w:line="276" w:lineRule="auto"/>
        <w:ind w:left="568" w:hanging="284"/>
        <w:rPr>
          <w:rFonts w:ascii="Calibri" w:hAnsi="Calibri" w:cs="Arial"/>
          <w:sz w:val="20"/>
          <w:szCs w:val="20"/>
        </w:rPr>
      </w:pPr>
      <w:r w:rsidRPr="00EF0EFF">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w:t>
      </w:r>
      <w:r w:rsidR="00EF0EFF">
        <w:rPr>
          <w:rFonts w:ascii="Calibri" w:hAnsi="Calibri" w:cs="Arial"/>
          <w:sz w:val="20"/>
          <w:szCs w:val="20"/>
        </w:rPr>
        <w:t>ai clienti o alla collettività.</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w:t>
      </w:r>
      <w:r w:rsidR="00EF0EFF">
        <w:rPr>
          <w:rFonts w:asciiTheme="minorHAnsi" w:hAnsiTheme="minorHAnsi" w:cs="Arial"/>
          <w:bCs/>
          <w:sz w:val="20"/>
          <w:szCs w:val="20"/>
        </w:rPr>
        <w:t xml:space="preserve"> “</w:t>
      </w:r>
      <w:r w:rsidR="00EF0EFF" w:rsidRPr="00EF0EFF">
        <w:rPr>
          <w:rFonts w:asciiTheme="minorHAnsi" w:hAnsiTheme="minorHAnsi" w:cs="Arial"/>
          <w:b/>
          <w:bCs/>
          <w:sz w:val="20"/>
          <w:szCs w:val="20"/>
        </w:rPr>
        <w:t>Energia Elettrica 22</w:t>
      </w:r>
      <w:r w:rsidR="00EF0EFF">
        <w:rPr>
          <w:rFonts w:asciiTheme="minorHAnsi" w:hAnsiTheme="minorHAnsi" w:cs="Arial"/>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BB10C9">
        <w:rPr>
          <w:rFonts w:asciiTheme="minorHAnsi" w:hAnsiTheme="minorHAnsi" w:cs="Arial"/>
          <w:bCs/>
          <w:sz w:val="20"/>
          <w:szCs w:val="20"/>
        </w:rPr>
        <w:t xml:space="preserve">il </w:t>
      </w:r>
      <w:r>
        <w:rPr>
          <w:rFonts w:asciiTheme="minorHAnsi" w:hAnsiTheme="minorHAnsi" w:cs="Arial"/>
          <w:b/>
          <w:bCs/>
          <w:sz w:val="20"/>
          <w:szCs w:val="20"/>
          <w:u w:val="single"/>
        </w:rPr>
        <w:t xml:space="preserve">15 </w:t>
      </w:r>
      <w:r w:rsidR="00BB10C9">
        <w:rPr>
          <w:rFonts w:asciiTheme="minorHAnsi" w:hAnsiTheme="minorHAnsi" w:cs="Arial"/>
          <w:b/>
          <w:bCs/>
          <w:sz w:val="20"/>
          <w:szCs w:val="20"/>
          <w:u w:val="single"/>
        </w:rPr>
        <w:t>marzo 2024</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EF0EFF" w:rsidRPr="00DD64D1">
          <w:rPr>
            <w:rStyle w:val="Collegamentoipertestuale"/>
            <w:rFonts w:asciiTheme="minorHAnsi" w:hAnsiTheme="minorHAnsi" w:cstheme="minorHAnsi"/>
            <w:sz w:val="20"/>
            <w:szCs w:val="20"/>
          </w:rPr>
          <w:t>seusconsip@postacert.consip.it</w:t>
        </w:r>
      </w:hyperlink>
      <w:r>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Tutte le informazioni da Voi fornite con il presente documento saranno utilizzate ai soli fini dello sviluppo dell’iniziativa in oggetto e non dovranno anticipare specifiche quotazioni afferenti </w:t>
      </w:r>
      <w:r w:rsidR="00EF0EFF">
        <w:rPr>
          <w:rFonts w:asciiTheme="minorHAnsi" w:hAnsiTheme="minorHAnsi" w:cs="Arial"/>
          <w:bCs/>
          <w:sz w:val="20"/>
          <w:szCs w:val="20"/>
        </w:rPr>
        <w:t>l’</w:t>
      </w:r>
      <w:r>
        <w:rPr>
          <w:rFonts w:asciiTheme="minorHAnsi" w:hAnsiTheme="minorHAnsi" w:cs="Arial"/>
          <w:bCs/>
          <w:sz w:val="20"/>
          <w:szCs w:val="20"/>
        </w:rPr>
        <w:t>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F0EFF">
      <w:pPr>
        <w:spacing w:line="360" w:lineRule="auto"/>
        <w:ind w:left="284"/>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F0EFF">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C414B" w:rsidRDefault="00A82C5B" w:rsidP="00EF0EFF">
      <w:pPr>
        <w:spacing w:line="276" w:lineRule="auto"/>
        <w:ind w:left="284"/>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rsidP="00EF0EFF">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A82C5B" w:rsidP="00EF0EFF">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A82C5B" w:rsidP="00EF0EFF">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w:t>
      </w:r>
      <w:r w:rsidRPr="00EF0EFF">
        <w:rPr>
          <w:rFonts w:asciiTheme="minorHAnsi" w:hAnsiTheme="minorHAnsi" w:cs="Arial"/>
          <w:bCs/>
          <w:i/>
          <w:sz w:val="20"/>
          <w:szCs w:val="20"/>
        </w:rPr>
        <w:t>i)</w:t>
      </w:r>
      <w:r>
        <w:rPr>
          <w:rFonts w:asciiTheme="minorHAnsi" w:hAnsiTheme="minorHAnsi" w:cs="Arial"/>
          <w:bCs/>
          <w:sz w:val="20"/>
          <w:szCs w:val="20"/>
        </w:rPr>
        <w:t xml:space="preserve"> revocare, in qualsiasi momento, il consenso; </w:t>
      </w:r>
      <w:r w:rsidRPr="00EF0EFF">
        <w:rPr>
          <w:rFonts w:asciiTheme="minorHAnsi" w:hAnsiTheme="minorHAnsi" w:cs="Arial"/>
          <w:bCs/>
          <w:i/>
          <w:sz w:val="20"/>
          <w:szCs w:val="20"/>
        </w:rPr>
        <w:t>ii)</w:t>
      </w:r>
      <w:r>
        <w:rPr>
          <w:rFonts w:asciiTheme="minorHAnsi" w:hAnsiTheme="minorHAnsi" w:cs="Arial"/>
          <w:bCs/>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F0EF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Se in caso di esercizio del diritto di accesso e dei diritti connessi previsti dagli artt. da 15 a 22 del Regolamento UE, la risposta all'istanza non perviene nei tempi indicati e/o non è soddisfacente, </w:t>
      </w:r>
      <w:r>
        <w:rPr>
          <w:rFonts w:asciiTheme="minorHAnsi" w:hAnsiTheme="minorHAnsi" w:cs="Arial"/>
          <w:bCs/>
          <w:sz w:val="20"/>
          <w:szCs w:val="20"/>
        </w:rPr>
        <w:lastRenderedPageBreak/>
        <w:t>l'interessato potrà far valere i propri diritti innanzi all'autorità giudiziaria o rivolgendosi al Garante per la protezione dei dati personali mediante apposito ricorso, reclamo o segnalazione.</w:t>
      </w:r>
    </w:p>
    <w:p w:rsidR="006C414B" w:rsidRDefault="00A82C5B" w:rsidP="00EF0EFF">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A82C5B" w:rsidP="00EF0EF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6C414B" w:rsidP="00EF0EFF">
      <w:pPr>
        <w:ind w:left="284"/>
        <w:rPr>
          <w:rFonts w:asciiTheme="minorHAnsi" w:hAnsiTheme="minorHAnsi" w:cs="Arial"/>
          <w:b/>
          <w:bCs/>
          <w:sz w:val="20"/>
          <w:szCs w:val="20"/>
        </w:rPr>
      </w:pPr>
    </w:p>
    <w:p w:rsidR="006C414B" w:rsidRDefault="00A82C5B" w:rsidP="00EF0EF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rsidR="00EF0EFF" w:rsidRPr="00EF0EFF" w:rsidRDefault="00EF0EFF" w:rsidP="00EF0EFF">
      <w:pPr>
        <w:spacing w:line="276" w:lineRule="auto"/>
        <w:ind w:left="284"/>
        <w:jc w:val="both"/>
        <w:rPr>
          <w:rFonts w:asciiTheme="minorHAnsi" w:hAnsiTheme="minorHAnsi" w:cs="Arial"/>
          <w:bCs/>
          <w:sz w:val="20"/>
          <w:szCs w:val="20"/>
        </w:rPr>
      </w:pPr>
      <w:r w:rsidRPr="00EF0EFF">
        <w:rPr>
          <w:rFonts w:asciiTheme="minorHAnsi" w:hAnsiTheme="minorHAnsi" w:cs="Arial"/>
          <w:bCs/>
          <w:sz w:val="20"/>
          <w:szCs w:val="20"/>
        </w:rPr>
        <w:t>Consip intende bandire una gara d’appalto per la fornitura di energia elettrica e dei servizi connessi per le Pubbliche Amministrazioni, suddivisa in lotti geografici. A seguito della gara sarà stipulata una convenzione con ciascun fornitore aggiudicatario dei singoli lotti. Il fornitore sarà tenuto a rifornire tutte le Amministrazioni che risponderanno a criteri prestabiliti ed invieranno un ordinativo di fornitura, fino al raggiungimento del quantitativo massimo della gara.</w:t>
      </w:r>
    </w:p>
    <w:p w:rsidR="00EF0EFF" w:rsidRPr="00EF0EFF" w:rsidRDefault="00EF0EFF" w:rsidP="00EF0EFF">
      <w:pPr>
        <w:spacing w:line="276" w:lineRule="auto"/>
        <w:ind w:left="284"/>
        <w:jc w:val="both"/>
        <w:rPr>
          <w:rFonts w:asciiTheme="minorHAnsi" w:hAnsiTheme="minorHAnsi" w:cs="Arial"/>
          <w:bCs/>
          <w:sz w:val="20"/>
          <w:szCs w:val="20"/>
        </w:rPr>
      </w:pPr>
      <w:r w:rsidRPr="00EF0EFF">
        <w:rPr>
          <w:rFonts w:asciiTheme="minorHAnsi" w:hAnsiTheme="minorHAnsi" w:cs="Arial"/>
          <w:bCs/>
          <w:sz w:val="20"/>
          <w:szCs w:val="20"/>
        </w:rPr>
        <w:t xml:space="preserve">Ciascuna convenzione avrà un periodo indicativo di adesione di 12 mesi, eventualmente prorogabili. I singoli contratti di fornitura, attivati dalle Pubbliche Amministrazioni mediante l’adesione alla convenzione, avranno una durata compresa tra i 12 e i 24 mesi. Per </w:t>
      </w:r>
      <w:r w:rsidRPr="002A6A9A">
        <w:rPr>
          <w:rFonts w:asciiTheme="minorHAnsi" w:hAnsiTheme="minorHAnsi" w:cs="Arial"/>
          <w:bCs/>
          <w:sz w:val="20"/>
          <w:szCs w:val="20"/>
        </w:rPr>
        <w:t xml:space="preserve">garantire una minore esposizione al rischio, dare maggiore stimolo alla concorrenza e agevolare la presentazione di offerte competitive, si pensa di suddividere il quantitativo annuo messo a gara (si stima sia compreso tra 11-13 </w:t>
      </w:r>
      <w:proofErr w:type="spellStart"/>
      <w:r w:rsidRPr="002A6A9A">
        <w:rPr>
          <w:rFonts w:asciiTheme="minorHAnsi" w:hAnsiTheme="minorHAnsi" w:cs="Arial"/>
          <w:bCs/>
          <w:sz w:val="20"/>
          <w:szCs w:val="20"/>
        </w:rPr>
        <w:t>TWh</w:t>
      </w:r>
      <w:proofErr w:type="spellEnd"/>
      <w:r w:rsidRPr="002A6A9A">
        <w:rPr>
          <w:rFonts w:asciiTheme="minorHAnsi" w:hAnsiTheme="minorHAnsi" w:cs="Arial"/>
          <w:bCs/>
          <w:sz w:val="20"/>
          <w:szCs w:val="20"/>
        </w:rPr>
        <w:t xml:space="preserve"> al netto di eventuali estensioni) in lotti geografici del valo</w:t>
      </w:r>
      <w:r w:rsidR="00CD006C">
        <w:rPr>
          <w:rFonts w:asciiTheme="minorHAnsi" w:hAnsiTheme="minorHAnsi" w:cs="Arial"/>
          <w:bCs/>
          <w:sz w:val="20"/>
          <w:szCs w:val="20"/>
        </w:rPr>
        <w:t xml:space="preserve">re singolo compreso nel </w:t>
      </w:r>
      <w:proofErr w:type="spellStart"/>
      <w:r w:rsidR="00CD006C">
        <w:rPr>
          <w:rFonts w:asciiTheme="minorHAnsi" w:hAnsiTheme="minorHAnsi" w:cs="Arial"/>
          <w:bCs/>
          <w:sz w:val="20"/>
          <w:szCs w:val="20"/>
        </w:rPr>
        <w:t>range</w:t>
      </w:r>
      <w:proofErr w:type="spellEnd"/>
      <w:r w:rsidR="00CD006C">
        <w:rPr>
          <w:rFonts w:asciiTheme="minorHAnsi" w:hAnsiTheme="minorHAnsi" w:cs="Arial"/>
          <w:bCs/>
          <w:sz w:val="20"/>
          <w:szCs w:val="20"/>
        </w:rPr>
        <w:t xml:space="preserve"> 20</w:t>
      </w:r>
      <w:r w:rsidRPr="002A6A9A">
        <w:rPr>
          <w:rFonts w:asciiTheme="minorHAnsi" w:hAnsiTheme="minorHAnsi" w:cs="Arial"/>
          <w:bCs/>
          <w:sz w:val="20"/>
          <w:szCs w:val="20"/>
        </w:rPr>
        <w:t>0 – 1.</w:t>
      </w:r>
      <w:r w:rsidR="00CD006C">
        <w:rPr>
          <w:rFonts w:asciiTheme="minorHAnsi" w:hAnsiTheme="minorHAnsi" w:cs="Arial"/>
          <w:bCs/>
          <w:sz w:val="20"/>
          <w:szCs w:val="20"/>
        </w:rPr>
        <w:t>4</w:t>
      </w:r>
      <w:r w:rsidRPr="002A6A9A">
        <w:rPr>
          <w:rFonts w:asciiTheme="minorHAnsi" w:hAnsiTheme="minorHAnsi" w:cs="Arial"/>
          <w:bCs/>
          <w:sz w:val="20"/>
          <w:szCs w:val="20"/>
        </w:rPr>
        <w:t xml:space="preserve">00 </w:t>
      </w:r>
      <w:proofErr w:type="spellStart"/>
      <w:r w:rsidRPr="002A6A9A">
        <w:rPr>
          <w:rFonts w:asciiTheme="minorHAnsi" w:hAnsiTheme="minorHAnsi" w:cs="Arial"/>
          <w:bCs/>
          <w:sz w:val="20"/>
          <w:szCs w:val="20"/>
        </w:rPr>
        <w:t>GWh</w:t>
      </w:r>
      <w:proofErr w:type="spellEnd"/>
      <w:r w:rsidRPr="002A6A9A">
        <w:rPr>
          <w:rFonts w:asciiTheme="minorHAnsi" w:hAnsiTheme="minorHAnsi" w:cs="Arial"/>
          <w:bCs/>
          <w:sz w:val="20"/>
          <w:szCs w:val="20"/>
        </w:rPr>
        <w:t>/anno. Si precisa che:</w:t>
      </w:r>
    </w:p>
    <w:p w:rsidR="00EF0EFF" w:rsidRPr="002A6A9A" w:rsidRDefault="00EF0EFF" w:rsidP="002A6A9A">
      <w:pPr>
        <w:pStyle w:val="Paragrafoelenco"/>
        <w:numPr>
          <w:ilvl w:val="0"/>
          <w:numId w:val="7"/>
        </w:numPr>
        <w:spacing w:line="276" w:lineRule="auto"/>
        <w:ind w:left="567" w:hanging="283"/>
        <w:jc w:val="both"/>
        <w:rPr>
          <w:rFonts w:asciiTheme="minorHAnsi" w:hAnsiTheme="minorHAnsi" w:cs="Arial"/>
          <w:bCs/>
          <w:sz w:val="20"/>
          <w:szCs w:val="20"/>
        </w:rPr>
      </w:pPr>
      <w:r w:rsidRPr="002A6A9A">
        <w:rPr>
          <w:rFonts w:asciiTheme="minorHAnsi" w:hAnsiTheme="minorHAnsi" w:cs="Arial"/>
          <w:bCs/>
          <w:sz w:val="20"/>
          <w:szCs w:val="20"/>
        </w:rPr>
        <w:t>il quantitativo massimo non è garantito;</w:t>
      </w:r>
    </w:p>
    <w:p w:rsidR="00EF0EFF" w:rsidRPr="002A6A9A" w:rsidRDefault="00EF0EFF" w:rsidP="002A6A9A">
      <w:pPr>
        <w:pStyle w:val="Paragrafoelenco"/>
        <w:numPr>
          <w:ilvl w:val="0"/>
          <w:numId w:val="7"/>
        </w:numPr>
        <w:spacing w:line="276" w:lineRule="auto"/>
        <w:ind w:left="567" w:hanging="283"/>
        <w:jc w:val="both"/>
        <w:rPr>
          <w:rFonts w:asciiTheme="minorHAnsi" w:hAnsiTheme="minorHAnsi" w:cs="Arial"/>
          <w:bCs/>
          <w:sz w:val="20"/>
          <w:szCs w:val="20"/>
        </w:rPr>
      </w:pPr>
      <w:r w:rsidRPr="002A6A9A">
        <w:rPr>
          <w:rFonts w:asciiTheme="minorHAnsi" w:hAnsiTheme="minorHAnsi" w:cs="Arial"/>
          <w:bCs/>
          <w:sz w:val="20"/>
          <w:szCs w:val="20"/>
        </w:rPr>
        <w:t>non è conosciuta a priori la distribuzione delle adesioni, né in termini geografici, né quantitativi, né qualitativi.</w:t>
      </w:r>
    </w:p>
    <w:p w:rsidR="006C414B" w:rsidRPr="00EF0EFF" w:rsidRDefault="00EF0EFF" w:rsidP="00EF0EFF">
      <w:pPr>
        <w:spacing w:line="276" w:lineRule="auto"/>
        <w:ind w:left="284"/>
        <w:jc w:val="both"/>
        <w:rPr>
          <w:rFonts w:asciiTheme="minorHAnsi" w:hAnsiTheme="minorHAnsi" w:cs="Arial"/>
          <w:bCs/>
          <w:sz w:val="20"/>
          <w:szCs w:val="20"/>
        </w:rPr>
      </w:pPr>
      <w:r w:rsidRPr="00EF0EFF">
        <w:rPr>
          <w:rFonts w:asciiTheme="minorHAnsi" w:hAnsiTheme="minorHAnsi" w:cs="Arial"/>
          <w:bCs/>
          <w:sz w:val="20"/>
          <w:szCs w:val="20"/>
        </w:rPr>
        <w:t xml:space="preserve">Il </w:t>
      </w:r>
      <w:r w:rsidRPr="00423F32">
        <w:rPr>
          <w:rFonts w:asciiTheme="minorHAnsi" w:hAnsiTheme="minorHAnsi" w:cs="Arial"/>
          <w:bCs/>
          <w:sz w:val="20"/>
          <w:szCs w:val="20"/>
        </w:rPr>
        <w:t xml:space="preserve">fabbisogno di energia elettrica riconducibile al comparto della Pubblica Amministrazione è di circa 20 </w:t>
      </w:r>
      <w:proofErr w:type="spellStart"/>
      <w:r w:rsidRPr="00423F32">
        <w:rPr>
          <w:rFonts w:asciiTheme="minorHAnsi" w:hAnsiTheme="minorHAnsi" w:cs="Arial"/>
          <w:bCs/>
          <w:sz w:val="20"/>
          <w:szCs w:val="20"/>
        </w:rPr>
        <w:t>TWh</w:t>
      </w:r>
      <w:proofErr w:type="spellEnd"/>
      <w:r w:rsidRPr="00423F32">
        <w:rPr>
          <w:rFonts w:asciiTheme="minorHAnsi" w:hAnsiTheme="minorHAnsi" w:cs="Arial"/>
          <w:bCs/>
          <w:sz w:val="20"/>
          <w:szCs w:val="20"/>
        </w:rPr>
        <w:t>/anno. Ulteriori</w:t>
      </w:r>
      <w:r w:rsidRPr="00EF0EFF">
        <w:rPr>
          <w:rFonts w:asciiTheme="minorHAnsi" w:hAnsiTheme="minorHAnsi" w:cs="Arial"/>
          <w:bCs/>
          <w:sz w:val="20"/>
          <w:szCs w:val="20"/>
        </w:rPr>
        <w:t xml:space="preserve"> dati relativi ai consumi della PA in generale, e a quelle utilizzatrici delle convenzioni Consip, sono disponibili </w:t>
      </w:r>
      <w:r w:rsidRPr="00423F32">
        <w:rPr>
          <w:rFonts w:asciiTheme="minorHAnsi" w:hAnsiTheme="minorHAnsi" w:cs="Arial"/>
          <w:bCs/>
          <w:sz w:val="20"/>
          <w:szCs w:val="20"/>
        </w:rPr>
        <w:t>nella sezione Documentazione riservata all’iniziativa Energia El</w:t>
      </w:r>
      <w:r w:rsidR="00423F32" w:rsidRPr="00423F32">
        <w:rPr>
          <w:rFonts w:asciiTheme="minorHAnsi" w:hAnsiTheme="minorHAnsi" w:cs="Arial"/>
          <w:bCs/>
          <w:sz w:val="20"/>
          <w:szCs w:val="20"/>
        </w:rPr>
        <w:t>ettrica 21</w:t>
      </w:r>
      <w:r w:rsidRPr="00423F32">
        <w:rPr>
          <w:rFonts w:asciiTheme="minorHAnsi" w:hAnsiTheme="minorHAnsi" w:cs="Arial"/>
          <w:bCs/>
          <w:sz w:val="20"/>
          <w:szCs w:val="20"/>
        </w:rPr>
        <w:t xml:space="preserve"> sul portale www.acquistinretepa.it (file Excel Dati generali sui consumi elettrici PA 202</w:t>
      </w:r>
      <w:r w:rsidR="00423F32">
        <w:rPr>
          <w:rFonts w:asciiTheme="minorHAnsi" w:hAnsiTheme="minorHAnsi" w:cs="Arial"/>
          <w:bCs/>
          <w:sz w:val="20"/>
          <w:szCs w:val="20"/>
        </w:rPr>
        <w:t>2</w:t>
      </w:r>
      <w:r w:rsidRPr="00423F32">
        <w:rPr>
          <w:rFonts w:asciiTheme="minorHAnsi" w:hAnsiTheme="minorHAnsi" w:cs="Arial"/>
          <w:bCs/>
          <w:sz w:val="20"/>
          <w:szCs w:val="20"/>
        </w:rPr>
        <w:t>).</w:t>
      </w:r>
    </w:p>
    <w:p w:rsidR="006C414B" w:rsidRDefault="006C414B" w:rsidP="00EF0EFF">
      <w:pPr>
        <w:spacing w:line="360" w:lineRule="auto"/>
        <w:ind w:left="284"/>
        <w:jc w:val="both"/>
        <w:rPr>
          <w:rFonts w:asciiTheme="minorHAnsi" w:hAnsiTheme="minorHAnsi" w:cs="Arial"/>
          <w:bCs/>
          <w:color w:val="FF0000"/>
          <w:sz w:val="20"/>
          <w:szCs w:val="20"/>
        </w:rPr>
      </w:pPr>
    </w:p>
    <w:p w:rsidR="00810508" w:rsidRDefault="00810508">
      <w:pPr>
        <w:spacing w:line="276" w:lineRule="auto"/>
        <w:jc w:val="both"/>
        <w:rPr>
          <w:rFonts w:asciiTheme="minorHAnsi" w:hAnsiTheme="minorHAnsi" w:cs="Arial"/>
          <w:bCs/>
          <w:sz w:val="20"/>
          <w:szCs w:val="20"/>
        </w:rPr>
      </w:pPr>
    </w:p>
    <w:p w:rsidR="00423F32" w:rsidRDefault="00423F32" w:rsidP="00810508">
      <w:pPr>
        <w:spacing w:line="360" w:lineRule="auto"/>
        <w:ind w:left="284"/>
        <w:jc w:val="both"/>
        <w:rPr>
          <w:rFonts w:asciiTheme="minorHAnsi" w:hAnsiTheme="minorHAnsi" w:cs="Arial"/>
          <w:b/>
          <w:bCs/>
          <w:sz w:val="22"/>
          <w:szCs w:val="22"/>
        </w:rPr>
      </w:pPr>
    </w:p>
    <w:p w:rsidR="00810508" w:rsidRPr="00BC6312" w:rsidRDefault="00810508" w:rsidP="00810508">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w:t>
      </w:r>
    </w:p>
    <w:p w:rsidR="00810508" w:rsidRPr="00DC0155" w:rsidRDefault="00810508" w:rsidP="00547D05">
      <w:pPr>
        <w:numPr>
          <w:ilvl w:val="0"/>
          <w:numId w:val="4"/>
        </w:numPr>
        <w:spacing w:after="120" w:line="276" w:lineRule="auto"/>
        <w:ind w:left="283" w:hanging="357"/>
        <w:jc w:val="both"/>
        <w:rPr>
          <w:rFonts w:asciiTheme="minorHAnsi" w:hAnsiTheme="minorHAnsi" w:cs="Arial"/>
          <w:bCs/>
          <w:sz w:val="20"/>
          <w:szCs w:val="20"/>
        </w:rPr>
      </w:pPr>
      <w:r w:rsidRPr="00DC0155">
        <w:rPr>
          <w:rFonts w:asciiTheme="minorHAnsi" w:hAnsiTheme="minorHAnsi" w:cs="Arial"/>
          <w:bCs/>
          <w:sz w:val="20"/>
          <w:szCs w:val="20"/>
        </w:rPr>
        <w:t>Si prevede di mettere a gara la fornitura di energia elettrica e dei servizi connessi per le Pubbliche Amministrazioni sulla base di differenti lotti geografici. Sarebbe interessato a partecipare alla gara in oggetto? In caso negativo quali sono le principali motivazioni?</w:t>
      </w:r>
      <w:r w:rsidRPr="00FA34AF">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Pr="00FA737A" w:rsidRDefault="00810508" w:rsidP="00810508">
      <w:pPr>
        <w:ind w:left="284"/>
        <w:jc w:val="both"/>
        <w:rPr>
          <w:rFonts w:asciiTheme="minorHAnsi" w:hAnsiTheme="minorHAnsi" w:cs="Arial"/>
          <w:bCs/>
          <w:color w:val="FF0000"/>
          <w:sz w:val="20"/>
          <w:szCs w:val="20"/>
        </w:rPr>
      </w:pPr>
    </w:p>
    <w:p w:rsidR="00810508" w:rsidRDefault="00810508" w:rsidP="00547D05">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Indicare il fatturato </w:t>
      </w:r>
      <w:r w:rsidR="00CD006C">
        <w:rPr>
          <w:rFonts w:asciiTheme="minorHAnsi" w:hAnsiTheme="minorHAnsi" w:cs="Arial"/>
          <w:bCs/>
          <w:sz w:val="20"/>
          <w:szCs w:val="20"/>
        </w:rPr>
        <w:t xml:space="preserve">globale </w:t>
      </w:r>
      <w:r>
        <w:rPr>
          <w:rFonts w:asciiTheme="minorHAnsi" w:hAnsiTheme="minorHAnsi" w:cs="Arial"/>
          <w:bCs/>
          <w:sz w:val="20"/>
          <w:szCs w:val="20"/>
        </w:rPr>
        <w:t xml:space="preserve">dell’azienda </w:t>
      </w:r>
      <w:r w:rsidR="00CD006C">
        <w:rPr>
          <w:rFonts w:asciiTheme="minorHAnsi" w:hAnsiTheme="minorHAnsi" w:cs="Arial"/>
          <w:bCs/>
          <w:sz w:val="20"/>
          <w:szCs w:val="20"/>
        </w:rPr>
        <w:t xml:space="preserve">e il fatturato </w:t>
      </w:r>
      <w:r>
        <w:rPr>
          <w:rFonts w:asciiTheme="minorHAnsi" w:hAnsiTheme="minorHAnsi" w:cs="Arial"/>
          <w:bCs/>
          <w:sz w:val="20"/>
          <w:szCs w:val="20"/>
        </w:rPr>
        <w:t>per la fornitura di energia elettrica</w:t>
      </w:r>
      <w:r w:rsidRPr="000F7A00">
        <w:rPr>
          <w:rFonts w:asciiTheme="minorHAnsi" w:hAnsiTheme="minorHAnsi" w:cs="Arial"/>
          <w:bCs/>
          <w:color w:val="0070C0"/>
          <w:sz w:val="20"/>
          <w:szCs w:val="20"/>
        </w:rPr>
        <w:t xml:space="preserve"> </w:t>
      </w:r>
      <w:r w:rsidRPr="00FA34AF">
        <w:rPr>
          <w:rFonts w:asciiTheme="minorHAnsi" w:hAnsiTheme="minorHAnsi" w:cs="Arial"/>
          <w:bCs/>
          <w:sz w:val="20"/>
          <w:szCs w:val="20"/>
        </w:rPr>
        <w:t>relativo agli ultimi tre esercizi finanziari approvati alla data di pubblicazione del presente Documento di consultazione del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tbl>
            <w:tblPr>
              <w:tblStyle w:val="Grigliatabella"/>
              <w:tblW w:w="0" w:type="auto"/>
              <w:jc w:val="center"/>
              <w:tblLook w:val="04A0" w:firstRow="1" w:lastRow="0" w:firstColumn="1" w:lastColumn="0" w:noHBand="0" w:noVBand="1"/>
            </w:tblPr>
            <w:tblGrid>
              <w:gridCol w:w="2756"/>
              <w:gridCol w:w="2756"/>
              <w:gridCol w:w="2756"/>
            </w:tblGrid>
            <w:tr w:rsidR="000A4A29" w:rsidTr="000A4A29">
              <w:trPr>
                <w:jc w:val="center"/>
              </w:trPr>
              <w:tc>
                <w:tcPr>
                  <w:tcW w:w="2756" w:type="dxa"/>
                  <w:vAlign w:val="center"/>
                </w:tcPr>
                <w:p w:rsidR="000A4A29" w:rsidRDefault="000A4A29" w:rsidP="000A4A29">
                  <w:pPr>
                    <w:jc w:val="center"/>
                    <w:rPr>
                      <w:rFonts w:asciiTheme="minorHAnsi" w:hAnsiTheme="minorHAnsi" w:cs="Arial"/>
                      <w:bCs/>
                      <w:sz w:val="20"/>
                      <w:szCs w:val="20"/>
                    </w:rPr>
                  </w:pPr>
                  <w:r>
                    <w:rPr>
                      <w:rFonts w:asciiTheme="minorHAnsi" w:hAnsiTheme="minorHAnsi" w:cs="Arial"/>
                      <w:bCs/>
                      <w:sz w:val="20"/>
                      <w:szCs w:val="20"/>
                    </w:rPr>
                    <w:t>Anno</w:t>
                  </w:r>
                </w:p>
              </w:tc>
              <w:tc>
                <w:tcPr>
                  <w:tcW w:w="2756" w:type="dxa"/>
                  <w:vAlign w:val="center"/>
                </w:tcPr>
                <w:p w:rsidR="000A4A29" w:rsidRDefault="000A4A29" w:rsidP="000A4A29">
                  <w:pPr>
                    <w:jc w:val="center"/>
                    <w:rPr>
                      <w:rFonts w:asciiTheme="minorHAnsi" w:hAnsiTheme="minorHAnsi" w:cs="Arial"/>
                      <w:bCs/>
                      <w:sz w:val="20"/>
                      <w:szCs w:val="20"/>
                    </w:rPr>
                  </w:pPr>
                  <w:r>
                    <w:rPr>
                      <w:rFonts w:asciiTheme="minorHAnsi" w:hAnsiTheme="minorHAnsi" w:cs="Arial"/>
                      <w:bCs/>
                      <w:sz w:val="20"/>
                      <w:szCs w:val="20"/>
                    </w:rPr>
                    <w:t>Fatturato Globale</w:t>
                  </w:r>
                </w:p>
              </w:tc>
              <w:tc>
                <w:tcPr>
                  <w:tcW w:w="2756" w:type="dxa"/>
                  <w:vAlign w:val="center"/>
                </w:tcPr>
                <w:p w:rsidR="000A4A29" w:rsidRDefault="000A4A29" w:rsidP="000A4A29">
                  <w:pPr>
                    <w:jc w:val="center"/>
                    <w:rPr>
                      <w:rFonts w:asciiTheme="minorHAnsi" w:hAnsiTheme="minorHAnsi" w:cs="Arial"/>
                      <w:bCs/>
                      <w:sz w:val="20"/>
                      <w:szCs w:val="20"/>
                    </w:rPr>
                  </w:pPr>
                  <w:r>
                    <w:rPr>
                      <w:rFonts w:asciiTheme="minorHAnsi" w:hAnsiTheme="minorHAnsi" w:cs="Arial"/>
                      <w:bCs/>
                      <w:sz w:val="20"/>
                      <w:szCs w:val="20"/>
                    </w:rPr>
                    <w:t>Fatturato vendita energia elettrica</w:t>
                  </w:r>
                </w:p>
              </w:tc>
            </w:tr>
            <w:tr w:rsidR="000A4A29" w:rsidTr="000A4A29">
              <w:trPr>
                <w:jc w:val="center"/>
              </w:trPr>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r>
            <w:tr w:rsidR="000A4A29" w:rsidTr="000A4A29">
              <w:trPr>
                <w:jc w:val="center"/>
              </w:trPr>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r>
            <w:tr w:rsidR="000A4A29" w:rsidTr="000A4A29">
              <w:trPr>
                <w:jc w:val="center"/>
              </w:trPr>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r>
            <w:tr w:rsidR="000A4A29" w:rsidTr="000A4A29">
              <w:trPr>
                <w:jc w:val="center"/>
              </w:trPr>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r>
            <w:tr w:rsidR="000A4A29" w:rsidTr="000A4A29">
              <w:trPr>
                <w:jc w:val="center"/>
              </w:trPr>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c>
                <w:tcPr>
                  <w:tcW w:w="2756" w:type="dxa"/>
                  <w:vAlign w:val="center"/>
                </w:tcPr>
                <w:p w:rsidR="000A4A29" w:rsidRDefault="000A4A29" w:rsidP="00D116CE">
                  <w:pPr>
                    <w:jc w:val="both"/>
                    <w:rPr>
                      <w:rFonts w:asciiTheme="minorHAnsi" w:hAnsiTheme="minorHAnsi" w:cs="Arial"/>
                      <w:bCs/>
                      <w:sz w:val="20"/>
                      <w:szCs w:val="20"/>
                    </w:rPr>
                  </w:pPr>
                </w:p>
              </w:tc>
            </w:tr>
          </w:tbl>
          <w:p w:rsidR="00810508" w:rsidRDefault="00810508" w:rsidP="00D116CE">
            <w:pPr>
              <w:ind w:left="284"/>
              <w:jc w:val="both"/>
              <w:rPr>
                <w:rFonts w:asciiTheme="minorHAnsi" w:hAnsiTheme="minorHAnsi" w:cs="Arial"/>
                <w:bCs/>
                <w:sz w:val="20"/>
                <w:szCs w:val="20"/>
              </w:rPr>
            </w:pPr>
          </w:p>
        </w:tc>
      </w:tr>
    </w:tbl>
    <w:p w:rsidR="00810508" w:rsidRPr="00FA737A" w:rsidRDefault="00810508" w:rsidP="00810508">
      <w:pPr>
        <w:ind w:left="284"/>
        <w:jc w:val="both"/>
        <w:rPr>
          <w:rFonts w:asciiTheme="minorHAnsi" w:hAnsiTheme="minorHAnsi" w:cs="Arial"/>
          <w:bCs/>
          <w:color w:val="FF0000"/>
          <w:sz w:val="20"/>
          <w:szCs w:val="20"/>
        </w:rPr>
      </w:pPr>
    </w:p>
    <w:p w:rsidR="00810508" w:rsidRDefault="00810508" w:rsidP="00547D05">
      <w:pPr>
        <w:numPr>
          <w:ilvl w:val="0"/>
          <w:numId w:val="4"/>
        </w:numPr>
        <w:spacing w:after="120" w:line="276" w:lineRule="auto"/>
        <w:ind w:left="283" w:hanging="357"/>
        <w:jc w:val="both"/>
        <w:rPr>
          <w:rFonts w:asciiTheme="minorHAnsi" w:hAnsiTheme="minorHAnsi" w:cs="Arial"/>
          <w:bCs/>
          <w:sz w:val="20"/>
          <w:szCs w:val="20"/>
        </w:rPr>
      </w:pPr>
      <w:r w:rsidRPr="00636E73">
        <w:rPr>
          <w:rFonts w:asciiTheme="minorHAnsi" w:hAnsiTheme="minorHAnsi" w:cs="Arial"/>
          <w:bCs/>
          <w:sz w:val="20"/>
          <w:szCs w:val="20"/>
        </w:rPr>
        <w:t xml:space="preserve">In quale </w:t>
      </w:r>
      <w:r w:rsidRPr="0085272E">
        <w:rPr>
          <w:rFonts w:asciiTheme="minorHAnsi" w:hAnsiTheme="minorHAnsi" w:cs="Arial"/>
          <w:bCs/>
          <w:sz w:val="20"/>
          <w:szCs w:val="20"/>
        </w:rPr>
        <w:t>percentuale il fatturato annuo</w:t>
      </w:r>
      <w:r w:rsidRPr="00636E73">
        <w:rPr>
          <w:rFonts w:asciiTheme="minorHAnsi" w:hAnsiTheme="minorHAnsi" w:cs="Arial"/>
          <w:bCs/>
          <w:sz w:val="20"/>
          <w:szCs w:val="20"/>
        </w:rPr>
        <w:t xml:space="preserve"> per contratti </w:t>
      </w:r>
      <w:r>
        <w:rPr>
          <w:rFonts w:asciiTheme="minorHAnsi" w:hAnsiTheme="minorHAnsi" w:cs="Arial"/>
          <w:bCs/>
          <w:sz w:val="20"/>
          <w:szCs w:val="20"/>
        </w:rPr>
        <w:t>di fornitura di energia elettrica</w:t>
      </w:r>
      <w:r w:rsidRPr="00636E73">
        <w:rPr>
          <w:rFonts w:asciiTheme="minorHAnsi" w:hAnsiTheme="minorHAnsi" w:cs="Arial"/>
          <w:bCs/>
          <w:sz w:val="20"/>
          <w:szCs w:val="20"/>
        </w:rPr>
        <w:t xml:space="preserve"> deriva da c</w:t>
      </w:r>
      <w:r>
        <w:rPr>
          <w:rFonts w:asciiTheme="minorHAnsi" w:hAnsiTheme="minorHAnsi" w:cs="Arial"/>
          <w:bCs/>
          <w:sz w:val="20"/>
          <w:szCs w:val="20"/>
        </w:rPr>
        <w:t>ontratti stipulati con la PA?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Pr="00FA737A" w:rsidRDefault="00810508" w:rsidP="00810508">
      <w:pPr>
        <w:ind w:left="284"/>
        <w:jc w:val="both"/>
        <w:rPr>
          <w:rFonts w:asciiTheme="minorHAnsi" w:hAnsiTheme="minorHAnsi" w:cs="Arial"/>
          <w:bCs/>
          <w:color w:val="FF0000"/>
          <w:sz w:val="20"/>
          <w:szCs w:val="20"/>
        </w:rPr>
      </w:pPr>
    </w:p>
    <w:p w:rsidR="00810508" w:rsidRDefault="00810508" w:rsidP="00547D05">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numero di dipendenti dell’azienda nei tre anni precedenti alla pubblicazione del </w:t>
      </w:r>
      <w:r w:rsidRPr="00FA34AF">
        <w:rPr>
          <w:rFonts w:asciiTheme="minorHAnsi" w:hAnsiTheme="minorHAnsi" w:cs="Arial"/>
          <w:bCs/>
          <w:sz w:val="20"/>
          <w:szCs w:val="20"/>
        </w:rPr>
        <w:t>presente Documento di consultazione del mercato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tbl>
            <w:tblPr>
              <w:tblStyle w:val="Grigliatabella"/>
              <w:tblW w:w="0" w:type="auto"/>
              <w:tblInd w:w="284" w:type="dxa"/>
              <w:tblLook w:val="04A0" w:firstRow="1" w:lastRow="0" w:firstColumn="1" w:lastColumn="0" w:noHBand="0" w:noVBand="1"/>
            </w:tblPr>
            <w:tblGrid>
              <w:gridCol w:w="3982"/>
              <w:gridCol w:w="4002"/>
            </w:tblGrid>
            <w:tr w:rsidR="000A4A29" w:rsidTr="000A4A29">
              <w:tc>
                <w:tcPr>
                  <w:tcW w:w="4134" w:type="dxa"/>
                </w:tcPr>
                <w:p w:rsidR="000A4A29" w:rsidRDefault="000A4A29" w:rsidP="000A4A29">
                  <w:pPr>
                    <w:jc w:val="center"/>
                    <w:rPr>
                      <w:rFonts w:asciiTheme="minorHAnsi" w:hAnsiTheme="minorHAnsi" w:cs="Arial"/>
                      <w:bCs/>
                      <w:sz w:val="20"/>
                      <w:szCs w:val="20"/>
                    </w:rPr>
                  </w:pPr>
                  <w:r>
                    <w:rPr>
                      <w:rFonts w:asciiTheme="minorHAnsi" w:hAnsiTheme="minorHAnsi" w:cs="Arial"/>
                      <w:bCs/>
                      <w:sz w:val="20"/>
                      <w:szCs w:val="20"/>
                    </w:rPr>
                    <w:t>Anno</w:t>
                  </w:r>
                </w:p>
              </w:tc>
              <w:tc>
                <w:tcPr>
                  <w:tcW w:w="4134" w:type="dxa"/>
                </w:tcPr>
                <w:p w:rsidR="000A4A29" w:rsidRDefault="000A4A29" w:rsidP="000A4A29">
                  <w:pPr>
                    <w:jc w:val="center"/>
                    <w:rPr>
                      <w:rFonts w:asciiTheme="minorHAnsi" w:hAnsiTheme="minorHAnsi" w:cs="Arial"/>
                      <w:bCs/>
                      <w:sz w:val="20"/>
                      <w:szCs w:val="20"/>
                    </w:rPr>
                  </w:pPr>
                  <w:r>
                    <w:rPr>
                      <w:rFonts w:asciiTheme="minorHAnsi" w:hAnsiTheme="minorHAnsi" w:cs="Arial"/>
                      <w:bCs/>
                      <w:sz w:val="20"/>
                      <w:szCs w:val="20"/>
                    </w:rPr>
                    <w:t>Numero dipendenti</w:t>
                  </w:r>
                </w:p>
              </w:tc>
            </w:tr>
            <w:tr w:rsidR="000A4A29" w:rsidTr="000A4A29">
              <w:tc>
                <w:tcPr>
                  <w:tcW w:w="4134" w:type="dxa"/>
                </w:tcPr>
                <w:p w:rsidR="000A4A29" w:rsidRDefault="000A4A29" w:rsidP="00D116CE">
                  <w:pPr>
                    <w:jc w:val="both"/>
                    <w:rPr>
                      <w:rFonts w:asciiTheme="minorHAnsi" w:hAnsiTheme="minorHAnsi" w:cs="Arial"/>
                      <w:bCs/>
                      <w:sz w:val="20"/>
                      <w:szCs w:val="20"/>
                    </w:rPr>
                  </w:pPr>
                </w:p>
              </w:tc>
              <w:tc>
                <w:tcPr>
                  <w:tcW w:w="4134" w:type="dxa"/>
                </w:tcPr>
                <w:p w:rsidR="000A4A29" w:rsidRDefault="000A4A29" w:rsidP="00D116CE">
                  <w:pPr>
                    <w:jc w:val="both"/>
                    <w:rPr>
                      <w:rFonts w:asciiTheme="minorHAnsi" w:hAnsiTheme="minorHAnsi" w:cs="Arial"/>
                      <w:bCs/>
                      <w:sz w:val="20"/>
                      <w:szCs w:val="20"/>
                    </w:rPr>
                  </w:pPr>
                </w:p>
              </w:tc>
            </w:tr>
            <w:tr w:rsidR="000A4A29" w:rsidTr="000A4A29">
              <w:tc>
                <w:tcPr>
                  <w:tcW w:w="4134" w:type="dxa"/>
                </w:tcPr>
                <w:p w:rsidR="000A4A29" w:rsidRDefault="000A4A29" w:rsidP="00D116CE">
                  <w:pPr>
                    <w:jc w:val="both"/>
                    <w:rPr>
                      <w:rFonts w:asciiTheme="minorHAnsi" w:hAnsiTheme="minorHAnsi" w:cs="Arial"/>
                      <w:bCs/>
                      <w:sz w:val="20"/>
                      <w:szCs w:val="20"/>
                    </w:rPr>
                  </w:pPr>
                </w:p>
              </w:tc>
              <w:tc>
                <w:tcPr>
                  <w:tcW w:w="4134" w:type="dxa"/>
                </w:tcPr>
                <w:p w:rsidR="000A4A29" w:rsidRDefault="000A4A29" w:rsidP="00D116CE">
                  <w:pPr>
                    <w:jc w:val="both"/>
                    <w:rPr>
                      <w:rFonts w:asciiTheme="minorHAnsi" w:hAnsiTheme="minorHAnsi" w:cs="Arial"/>
                      <w:bCs/>
                      <w:sz w:val="20"/>
                      <w:szCs w:val="20"/>
                    </w:rPr>
                  </w:pPr>
                </w:p>
              </w:tc>
            </w:tr>
            <w:tr w:rsidR="000A4A29" w:rsidTr="000A4A29">
              <w:tc>
                <w:tcPr>
                  <w:tcW w:w="4134" w:type="dxa"/>
                </w:tcPr>
                <w:p w:rsidR="000A4A29" w:rsidRDefault="000A4A29" w:rsidP="00D116CE">
                  <w:pPr>
                    <w:jc w:val="both"/>
                    <w:rPr>
                      <w:rFonts w:asciiTheme="minorHAnsi" w:hAnsiTheme="minorHAnsi" w:cs="Arial"/>
                      <w:bCs/>
                      <w:sz w:val="20"/>
                      <w:szCs w:val="20"/>
                    </w:rPr>
                  </w:pPr>
                </w:p>
              </w:tc>
              <w:tc>
                <w:tcPr>
                  <w:tcW w:w="4134" w:type="dxa"/>
                </w:tcPr>
                <w:p w:rsidR="000A4A29" w:rsidRDefault="000A4A29" w:rsidP="00D116CE">
                  <w:pPr>
                    <w:jc w:val="both"/>
                    <w:rPr>
                      <w:rFonts w:asciiTheme="minorHAnsi" w:hAnsiTheme="minorHAnsi" w:cs="Arial"/>
                      <w:bCs/>
                      <w:sz w:val="20"/>
                      <w:szCs w:val="20"/>
                    </w:rPr>
                  </w:pPr>
                </w:p>
              </w:tc>
            </w:tr>
            <w:tr w:rsidR="000A4A29" w:rsidTr="000A4A29">
              <w:tc>
                <w:tcPr>
                  <w:tcW w:w="4134" w:type="dxa"/>
                </w:tcPr>
                <w:p w:rsidR="000A4A29" w:rsidRDefault="000A4A29" w:rsidP="00D116CE">
                  <w:pPr>
                    <w:jc w:val="both"/>
                    <w:rPr>
                      <w:rFonts w:asciiTheme="minorHAnsi" w:hAnsiTheme="minorHAnsi" w:cs="Arial"/>
                      <w:bCs/>
                      <w:sz w:val="20"/>
                      <w:szCs w:val="20"/>
                    </w:rPr>
                  </w:pPr>
                </w:p>
              </w:tc>
              <w:tc>
                <w:tcPr>
                  <w:tcW w:w="4134" w:type="dxa"/>
                </w:tcPr>
                <w:p w:rsidR="000A4A29" w:rsidRDefault="000A4A29" w:rsidP="00D116CE">
                  <w:pPr>
                    <w:jc w:val="both"/>
                    <w:rPr>
                      <w:rFonts w:asciiTheme="minorHAnsi" w:hAnsiTheme="minorHAnsi" w:cs="Arial"/>
                      <w:bCs/>
                      <w:sz w:val="20"/>
                      <w:szCs w:val="20"/>
                    </w:rPr>
                  </w:pPr>
                </w:p>
              </w:tc>
            </w:tr>
            <w:tr w:rsidR="000A4A29" w:rsidTr="000A4A29">
              <w:tc>
                <w:tcPr>
                  <w:tcW w:w="4134" w:type="dxa"/>
                </w:tcPr>
                <w:p w:rsidR="000A4A29" w:rsidRDefault="000A4A29" w:rsidP="00D116CE">
                  <w:pPr>
                    <w:jc w:val="both"/>
                    <w:rPr>
                      <w:rFonts w:asciiTheme="minorHAnsi" w:hAnsiTheme="minorHAnsi" w:cs="Arial"/>
                      <w:bCs/>
                      <w:sz w:val="20"/>
                      <w:szCs w:val="20"/>
                    </w:rPr>
                  </w:pPr>
                </w:p>
              </w:tc>
              <w:tc>
                <w:tcPr>
                  <w:tcW w:w="4134" w:type="dxa"/>
                </w:tcPr>
                <w:p w:rsidR="000A4A29" w:rsidRDefault="000A4A29" w:rsidP="00D116CE">
                  <w:pPr>
                    <w:jc w:val="both"/>
                    <w:rPr>
                      <w:rFonts w:asciiTheme="minorHAnsi" w:hAnsiTheme="minorHAnsi" w:cs="Arial"/>
                      <w:bCs/>
                      <w:sz w:val="20"/>
                      <w:szCs w:val="20"/>
                    </w:rPr>
                  </w:pPr>
                </w:p>
              </w:tc>
            </w:tr>
          </w:tbl>
          <w:p w:rsidR="00810508" w:rsidRDefault="00810508" w:rsidP="00D116CE">
            <w:pPr>
              <w:ind w:left="284"/>
              <w:jc w:val="both"/>
              <w:rPr>
                <w:rFonts w:asciiTheme="minorHAnsi" w:hAnsiTheme="minorHAnsi" w:cs="Arial"/>
                <w:bCs/>
                <w:sz w:val="20"/>
                <w:szCs w:val="20"/>
              </w:rPr>
            </w:pPr>
          </w:p>
        </w:tc>
      </w:tr>
    </w:tbl>
    <w:p w:rsidR="00810508" w:rsidRPr="002B7ED1" w:rsidRDefault="00810508" w:rsidP="00810508">
      <w:pPr>
        <w:spacing w:line="276" w:lineRule="auto"/>
        <w:ind w:left="284"/>
        <w:jc w:val="both"/>
        <w:rPr>
          <w:rFonts w:asciiTheme="minorHAnsi" w:hAnsiTheme="minorHAnsi" w:cs="Arial"/>
          <w:bCs/>
          <w:sz w:val="20"/>
          <w:szCs w:val="20"/>
        </w:rPr>
      </w:pPr>
      <w:bookmarkStart w:id="0" w:name="_GoBack"/>
      <w:bookmarkEnd w:id="0"/>
    </w:p>
    <w:p w:rsidR="00810508" w:rsidRDefault="00810508" w:rsidP="00547D05">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 è la vostra opinione sull’attuale scenario che sta caratterizzando i mercati energetici? Secondo le vostre previsioni i livelli di </w:t>
      </w:r>
      <w:proofErr w:type="spellStart"/>
      <w:r w:rsidRPr="00533959">
        <w:rPr>
          <w:rFonts w:asciiTheme="minorHAnsi" w:hAnsiTheme="minorHAnsi" w:cs="Arial"/>
          <w:bCs/>
          <w:i/>
          <w:sz w:val="20"/>
          <w:szCs w:val="20"/>
        </w:rPr>
        <w:t>pricing</w:t>
      </w:r>
      <w:proofErr w:type="spellEnd"/>
      <w:r>
        <w:rPr>
          <w:rFonts w:asciiTheme="minorHAnsi" w:hAnsiTheme="minorHAnsi" w:cs="Arial"/>
          <w:bCs/>
          <w:sz w:val="20"/>
          <w:szCs w:val="20"/>
        </w:rPr>
        <w:t xml:space="preserve"> possono considerarsi stabili?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Default="00810508" w:rsidP="00810508">
      <w:pPr>
        <w:spacing w:line="276" w:lineRule="auto"/>
        <w:jc w:val="both"/>
        <w:rPr>
          <w:rFonts w:asciiTheme="minorHAnsi" w:hAnsiTheme="minorHAnsi" w:cs="Arial"/>
          <w:bCs/>
          <w:sz w:val="20"/>
          <w:szCs w:val="20"/>
        </w:rPr>
      </w:pPr>
    </w:p>
    <w:p w:rsidR="00810508" w:rsidRPr="00EF0D43" w:rsidRDefault="00810508" w:rsidP="00547D05">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Si prevede di mettere a gara la fornitura di energia elettrica e dei servizi connessi</w:t>
      </w:r>
      <w:r w:rsidRPr="000F7A00">
        <w:rPr>
          <w:rFonts w:asciiTheme="minorHAnsi" w:hAnsiTheme="minorHAnsi" w:cs="Arial"/>
          <w:bCs/>
          <w:color w:val="0070C0"/>
          <w:sz w:val="20"/>
          <w:szCs w:val="20"/>
        </w:rPr>
        <w:t xml:space="preserve"> </w:t>
      </w:r>
      <w:r>
        <w:rPr>
          <w:rFonts w:asciiTheme="minorHAnsi" w:hAnsiTheme="minorHAnsi" w:cs="Arial"/>
          <w:bCs/>
          <w:color w:val="000000" w:themeColor="text1"/>
          <w:sz w:val="20"/>
          <w:szCs w:val="20"/>
        </w:rPr>
        <w:t xml:space="preserve">sulla base di differenti lotti geografici. Quali sono le aree </w:t>
      </w:r>
      <w:r w:rsidRPr="00C920CC">
        <w:rPr>
          <w:rFonts w:asciiTheme="minorHAnsi" w:hAnsiTheme="minorHAnsi" w:cs="Arial"/>
          <w:bCs/>
          <w:sz w:val="20"/>
          <w:szCs w:val="20"/>
        </w:rPr>
        <w:t xml:space="preserve">del territorio italiano </w:t>
      </w:r>
      <w:r>
        <w:rPr>
          <w:rFonts w:asciiTheme="minorHAnsi" w:hAnsiTheme="minorHAnsi" w:cs="Arial"/>
          <w:bCs/>
          <w:sz w:val="20"/>
          <w:szCs w:val="20"/>
        </w:rPr>
        <w:t>di vostro interesse</w:t>
      </w:r>
      <w:r w:rsidRPr="00C920CC">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Default="00810508" w:rsidP="00810508">
      <w:pPr>
        <w:ind w:left="284"/>
        <w:jc w:val="both"/>
        <w:rPr>
          <w:rFonts w:asciiTheme="minorHAnsi" w:hAnsiTheme="minorHAnsi" w:cs="Arial"/>
          <w:bCs/>
          <w:sz w:val="20"/>
          <w:szCs w:val="20"/>
        </w:rPr>
      </w:pPr>
    </w:p>
    <w:p w:rsidR="00810508" w:rsidRPr="002370BF" w:rsidRDefault="00810508" w:rsidP="00547D05">
      <w:pPr>
        <w:numPr>
          <w:ilvl w:val="0"/>
          <w:numId w:val="4"/>
        </w:numPr>
        <w:spacing w:after="120" w:line="276" w:lineRule="auto"/>
        <w:ind w:left="283" w:hanging="357"/>
        <w:jc w:val="both"/>
        <w:rPr>
          <w:rFonts w:asciiTheme="minorHAnsi" w:hAnsiTheme="minorHAnsi" w:cs="Arial"/>
          <w:bCs/>
          <w:sz w:val="20"/>
          <w:szCs w:val="20"/>
        </w:rPr>
      </w:pPr>
      <w:r w:rsidRPr="002370BF">
        <w:rPr>
          <w:rFonts w:asciiTheme="minorHAnsi" w:hAnsiTheme="minorHAnsi" w:cs="Arial"/>
          <w:bCs/>
          <w:sz w:val="20"/>
          <w:szCs w:val="20"/>
        </w:rPr>
        <w:t xml:space="preserve">Con riferimento al Bando Consip Energia Elettrica ed. </w:t>
      </w:r>
      <w:r w:rsidR="0091172C">
        <w:rPr>
          <w:rFonts w:asciiTheme="minorHAnsi" w:hAnsiTheme="minorHAnsi" w:cs="Arial"/>
          <w:bCs/>
          <w:sz w:val="20"/>
          <w:szCs w:val="20"/>
        </w:rPr>
        <w:t>21</w:t>
      </w:r>
      <w:r w:rsidRPr="002370BF">
        <w:rPr>
          <w:rFonts w:asciiTheme="minorHAnsi" w:hAnsiTheme="minorHAnsi" w:cs="Arial"/>
          <w:bCs/>
          <w:sz w:val="20"/>
          <w:szCs w:val="20"/>
        </w:rPr>
        <w:t xml:space="preserve"> (www.acquistiretepa.it &gt; Acquista &gt; Convenzioni &gt; Energia Elettrica </w:t>
      </w:r>
      <w:r>
        <w:rPr>
          <w:rFonts w:asciiTheme="minorHAnsi" w:hAnsiTheme="minorHAnsi" w:cs="Arial"/>
          <w:bCs/>
          <w:sz w:val="20"/>
          <w:szCs w:val="20"/>
        </w:rPr>
        <w:t>2</w:t>
      </w:r>
      <w:r w:rsidR="0091172C">
        <w:rPr>
          <w:rFonts w:asciiTheme="minorHAnsi" w:hAnsiTheme="minorHAnsi" w:cs="Arial"/>
          <w:bCs/>
          <w:sz w:val="20"/>
          <w:szCs w:val="20"/>
        </w:rPr>
        <w:t>1</w:t>
      </w:r>
      <w:r w:rsidRPr="002370BF">
        <w:rPr>
          <w:rFonts w:asciiTheme="minorHAnsi" w:hAnsiTheme="minorHAnsi" w:cs="Arial"/>
          <w:bCs/>
          <w:sz w:val="20"/>
          <w:szCs w:val="20"/>
        </w:rPr>
        <w:t>), ad oggi quali ritenete siano i pregi e le criticità?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Pr="00636E73" w:rsidRDefault="00810508" w:rsidP="00810508">
      <w:pPr>
        <w:ind w:left="284"/>
        <w:jc w:val="both"/>
        <w:rPr>
          <w:rFonts w:asciiTheme="minorHAnsi" w:hAnsiTheme="minorHAnsi" w:cs="Arial"/>
          <w:bCs/>
          <w:sz w:val="20"/>
          <w:szCs w:val="20"/>
        </w:rPr>
      </w:pPr>
    </w:p>
    <w:p w:rsidR="00810508" w:rsidRPr="00B64F2F" w:rsidRDefault="00810508" w:rsidP="00547D05">
      <w:pPr>
        <w:numPr>
          <w:ilvl w:val="0"/>
          <w:numId w:val="4"/>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Per la prossima edizione, ritenete ancora valido/attuale il sistema di </w:t>
      </w:r>
      <w:proofErr w:type="spellStart"/>
      <w:r w:rsidRPr="009D62CE">
        <w:rPr>
          <w:rFonts w:asciiTheme="minorHAnsi" w:hAnsiTheme="minorHAnsi" w:cs="Arial"/>
          <w:bCs/>
          <w:i/>
          <w:sz w:val="20"/>
          <w:szCs w:val="20"/>
        </w:rPr>
        <w:t>pricing</w:t>
      </w:r>
      <w:proofErr w:type="spellEnd"/>
      <w:r w:rsidRPr="009D62CE">
        <w:rPr>
          <w:rFonts w:asciiTheme="minorHAnsi" w:hAnsiTheme="minorHAnsi" w:cs="Arial"/>
          <w:bCs/>
          <w:sz w:val="20"/>
          <w:szCs w:val="20"/>
        </w:rPr>
        <w:t xml:space="preserve"> adottato nella precedente edizione della gara (fornitur</w:t>
      </w:r>
      <w:r>
        <w:rPr>
          <w:rFonts w:asciiTheme="minorHAnsi" w:hAnsiTheme="minorHAnsi" w:cs="Arial"/>
          <w:bCs/>
          <w:sz w:val="20"/>
          <w:szCs w:val="20"/>
        </w:rPr>
        <w:t>e</w:t>
      </w:r>
      <w:r w:rsidRPr="009D62CE">
        <w:rPr>
          <w:rFonts w:asciiTheme="minorHAnsi" w:hAnsiTheme="minorHAnsi" w:cs="Arial"/>
          <w:bCs/>
          <w:sz w:val="20"/>
          <w:szCs w:val="20"/>
        </w:rPr>
        <w:t xml:space="preserve"> a </w:t>
      </w:r>
      <w:r w:rsidRPr="009D62CE">
        <w:rPr>
          <w:rFonts w:asciiTheme="minorHAnsi" w:hAnsiTheme="minorHAnsi" w:cs="Arial"/>
          <w:bCs/>
          <w:sz w:val="20"/>
          <w:szCs w:val="20"/>
          <w:u w:val="single"/>
        </w:rPr>
        <w:t>prezzo variabile</w:t>
      </w:r>
      <w:r>
        <w:rPr>
          <w:rFonts w:asciiTheme="minorHAnsi" w:hAnsiTheme="minorHAnsi" w:cs="Arial"/>
          <w:bCs/>
          <w:sz w:val="20"/>
          <w:szCs w:val="20"/>
          <w:u w:val="single"/>
        </w:rPr>
        <w:t xml:space="preserve"> 12 mesi</w:t>
      </w:r>
      <w:r w:rsidRPr="009D62CE">
        <w:rPr>
          <w:rFonts w:asciiTheme="minorHAnsi" w:hAnsiTheme="minorHAnsi" w:cs="Arial"/>
          <w:bCs/>
          <w:sz w:val="20"/>
          <w:szCs w:val="20"/>
        </w:rPr>
        <w:t xml:space="preserve">: </w:t>
      </w:r>
      <w:r w:rsidRPr="009D62CE">
        <w:rPr>
          <w:rFonts w:asciiTheme="minorHAnsi" w:hAnsiTheme="minorHAnsi" w:cs="Arial"/>
          <w:bCs/>
          <w:i/>
          <w:sz w:val="20"/>
          <w:szCs w:val="20"/>
        </w:rPr>
        <w:t>Prezzo medio di acquisto per fasce orarie del MPE-MGP + spread</w:t>
      </w:r>
      <w:r>
        <w:rPr>
          <w:rFonts w:asciiTheme="minorHAnsi" w:hAnsiTheme="minorHAnsi" w:cs="Arial"/>
          <w:bCs/>
          <w:sz w:val="20"/>
          <w:szCs w:val="20"/>
        </w:rPr>
        <w:t xml:space="preserve">)? Ritenete valida la possibilità di introdurre nuovamente le forniture a </w:t>
      </w:r>
      <w:r>
        <w:rPr>
          <w:rFonts w:asciiTheme="minorHAnsi" w:hAnsiTheme="minorHAnsi" w:cs="Arial"/>
          <w:bCs/>
          <w:sz w:val="20"/>
          <w:szCs w:val="20"/>
          <w:u w:val="single"/>
        </w:rPr>
        <w:t xml:space="preserve">prezzo variabile </w:t>
      </w:r>
      <w:r w:rsidRPr="008B05F1">
        <w:rPr>
          <w:rFonts w:asciiTheme="minorHAnsi" w:hAnsiTheme="minorHAnsi" w:cs="Arial"/>
          <w:bCs/>
          <w:sz w:val="20"/>
          <w:szCs w:val="20"/>
          <w:u w:val="single"/>
        </w:rPr>
        <w:t>24 mesi</w:t>
      </w:r>
      <w:r>
        <w:rPr>
          <w:rFonts w:asciiTheme="minorHAnsi" w:hAnsiTheme="minorHAnsi" w:cs="Arial"/>
          <w:bCs/>
          <w:sz w:val="20"/>
          <w:szCs w:val="20"/>
        </w:rPr>
        <w:t xml:space="preserve"> adottando il suddetto sistema (</w:t>
      </w:r>
      <w:r w:rsidRPr="009D62CE">
        <w:rPr>
          <w:rFonts w:asciiTheme="minorHAnsi" w:hAnsiTheme="minorHAnsi" w:cs="Arial"/>
          <w:bCs/>
          <w:i/>
          <w:sz w:val="20"/>
          <w:szCs w:val="20"/>
        </w:rPr>
        <w:t>Prezzo medio di acquisto per fasce orarie del MPE-MGP + spread</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Default="00810508" w:rsidP="00810508">
      <w:pPr>
        <w:ind w:left="284"/>
        <w:jc w:val="both"/>
        <w:rPr>
          <w:rFonts w:asciiTheme="minorHAnsi" w:hAnsiTheme="minorHAnsi" w:cs="Arial"/>
          <w:bCs/>
          <w:sz w:val="20"/>
          <w:szCs w:val="20"/>
        </w:rPr>
      </w:pPr>
    </w:p>
    <w:p w:rsidR="0091172C" w:rsidRPr="0091172C" w:rsidRDefault="0091172C" w:rsidP="00547D05">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 caso riteniate valida la possibilità di introdurre nuovamente le forniture a </w:t>
      </w:r>
      <w:r>
        <w:rPr>
          <w:rFonts w:asciiTheme="minorHAnsi" w:hAnsiTheme="minorHAnsi" w:cs="Arial"/>
          <w:bCs/>
          <w:sz w:val="20"/>
          <w:szCs w:val="20"/>
          <w:u w:val="single"/>
        </w:rPr>
        <w:t xml:space="preserve">prezzo variabile </w:t>
      </w:r>
      <w:r w:rsidRPr="008B05F1">
        <w:rPr>
          <w:rFonts w:asciiTheme="minorHAnsi" w:hAnsiTheme="minorHAnsi" w:cs="Arial"/>
          <w:bCs/>
          <w:sz w:val="20"/>
          <w:szCs w:val="20"/>
          <w:u w:val="single"/>
        </w:rPr>
        <w:t>24 mesi</w:t>
      </w:r>
      <w:r>
        <w:rPr>
          <w:rFonts w:asciiTheme="minorHAnsi" w:hAnsiTheme="minorHAnsi" w:cs="Arial"/>
          <w:bCs/>
          <w:sz w:val="20"/>
          <w:szCs w:val="20"/>
          <w:u w:val="single"/>
        </w:rPr>
        <w:t xml:space="preserve">, </w:t>
      </w:r>
      <w:r>
        <w:rPr>
          <w:rFonts w:asciiTheme="minorHAnsi" w:hAnsiTheme="minorHAnsi" w:cs="Arial"/>
          <w:bCs/>
          <w:sz w:val="20"/>
          <w:szCs w:val="20"/>
        </w:rPr>
        <w:t>pensate che possa essere</w:t>
      </w:r>
      <w:r w:rsidRPr="0091172C">
        <w:rPr>
          <w:rFonts w:asciiTheme="minorHAnsi" w:hAnsiTheme="minorHAnsi" w:cs="Arial"/>
          <w:bCs/>
          <w:sz w:val="20"/>
          <w:szCs w:val="20"/>
        </w:rPr>
        <w:t xml:space="preserve"> utile la presenza di un </w:t>
      </w:r>
      <w:proofErr w:type="spellStart"/>
      <w:r w:rsidRPr="0091172C">
        <w:rPr>
          <w:rFonts w:asciiTheme="minorHAnsi" w:hAnsiTheme="minorHAnsi" w:cs="Arial"/>
          <w:bCs/>
          <w:i/>
          <w:sz w:val="20"/>
          <w:szCs w:val="20"/>
        </w:rPr>
        <w:t>cap</w:t>
      </w:r>
      <w:proofErr w:type="spellEnd"/>
      <w:r w:rsidRPr="0091172C">
        <w:rPr>
          <w:rFonts w:asciiTheme="minorHAnsi" w:hAnsiTheme="minorHAnsi" w:cs="Arial"/>
          <w:bCs/>
          <w:sz w:val="20"/>
          <w:szCs w:val="20"/>
        </w:rPr>
        <w:t xml:space="preserve"> al quantitativo di energia da rendere disponibile a prezzo variabile a 24 mesi? Se si, </w:t>
      </w:r>
      <w:r>
        <w:rPr>
          <w:rFonts w:asciiTheme="minorHAnsi" w:hAnsiTheme="minorHAnsi" w:cs="Arial"/>
          <w:bCs/>
          <w:sz w:val="20"/>
          <w:szCs w:val="20"/>
        </w:rPr>
        <w:t>pensate che il 25</w:t>
      </w:r>
      <w:r w:rsidRPr="00AF2233">
        <w:rPr>
          <w:rFonts w:asciiTheme="minorHAnsi" w:hAnsiTheme="minorHAnsi" w:cs="Arial"/>
          <w:bCs/>
          <w:sz w:val="20"/>
          <w:szCs w:val="20"/>
        </w:rPr>
        <w:t>% del massimale iniziale</w:t>
      </w:r>
      <w:r>
        <w:rPr>
          <w:rFonts w:asciiTheme="minorHAnsi" w:hAnsiTheme="minorHAnsi" w:cs="Arial"/>
          <w:bCs/>
          <w:sz w:val="20"/>
          <w:szCs w:val="20"/>
        </w:rPr>
        <w:t xml:space="preserve"> possa essere un </w:t>
      </w:r>
      <w:proofErr w:type="spellStart"/>
      <w:r w:rsidRPr="0091172C">
        <w:rPr>
          <w:rFonts w:asciiTheme="minorHAnsi" w:hAnsiTheme="minorHAnsi" w:cs="Arial"/>
          <w:bCs/>
          <w:i/>
          <w:sz w:val="20"/>
          <w:szCs w:val="20"/>
        </w:rPr>
        <w:t>cap</w:t>
      </w:r>
      <w:proofErr w:type="spellEnd"/>
      <w:r>
        <w:rPr>
          <w:rFonts w:asciiTheme="minorHAnsi" w:hAnsiTheme="minorHAnsi" w:cs="Arial"/>
          <w:bCs/>
          <w:sz w:val="20"/>
          <w:szCs w:val="20"/>
        </w:rPr>
        <w:t xml:space="preserve"> valido?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172C" w:rsidTr="00D116CE">
        <w:trPr>
          <w:trHeight w:val="1824"/>
        </w:trPr>
        <w:tc>
          <w:tcPr>
            <w:tcW w:w="8494" w:type="dxa"/>
            <w:shd w:val="clear" w:color="auto" w:fill="F2F2F2" w:themeFill="background1" w:themeFillShade="F2"/>
          </w:tcPr>
          <w:p w:rsidR="0091172C" w:rsidRDefault="0091172C" w:rsidP="00D116CE">
            <w:pPr>
              <w:ind w:left="284"/>
              <w:jc w:val="both"/>
              <w:rPr>
                <w:rFonts w:asciiTheme="minorHAnsi" w:hAnsiTheme="minorHAnsi" w:cs="Arial"/>
                <w:bCs/>
                <w:sz w:val="20"/>
                <w:szCs w:val="20"/>
              </w:rPr>
            </w:pPr>
          </w:p>
        </w:tc>
      </w:tr>
    </w:tbl>
    <w:p w:rsidR="0091172C" w:rsidRDefault="0091172C" w:rsidP="0091172C">
      <w:pPr>
        <w:ind w:left="284"/>
        <w:jc w:val="both"/>
        <w:rPr>
          <w:rFonts w:asciiTheme="minorHAnsi" w:hAnsiTheme="minorHAnsi" w:cs="Arial"/>
          <w:bCs/>
          <w:sz w:val="20"/>
          <w:szCs w:val="20"/>
        </w:rPr>
      </w:pPr>
    </w:p>
    <w:p w:rsidR="00810508" w:rsidRDefault="00810508" w:rsidP="00547D05">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w:t>
      </w:r>
      <w:r w:rsidR="0091172C">
        <w:rPr>
          <w:rFonts w:asciiTheme="minorHAnsi" w:hAnsiTheme="minorHAnsi" w:cs="Arial"/>
          <w:bCs/>
          <w:sz w:val="20"/>
          <w:szCs w:val="20"/>
        </w:rPr>
        <w:t>n caso di risposta negativa alla</w:t>
      </w:r>
      <w:r>
        <w:rPr>
          <w:rFonts w:asciiTheme="minorHAnsi" w:hAnsiTheme="minorHAnsi" w:cs="Arial"/>
          <w:bCs/>
          <w:sz w:val="20"/>
          <w:szCs w:val="20"/>
        </w:rPr>
        <w:t xml:space="preserve"> </w:t>
      </w:r>
      <w:r w:rsidR="0091172C">
        <w:rPr>
          <w:rFonts w:asciiTheme="minorHAnsi" w:hAnsiTheme="minorHAnsi" w:cs="Arial"/>
          <w:bCs/>
          <w:sz w:val="20"/>
          <w:szCs w:val="20"/>
        </w:rPr>
        <w:t>domanda n. 8</w:t>
      </w:r>
      <w:r>
        <w:rPr>
          <w:rFonts w:asciiTheme="minorHAnsi" w:hAnsiTheme="minorHAnsi" w:cs="Arial"/>
          <w:bCs/>
          <w:sz w:val="20"/>
          <w:szCs w:val="20"/>
        </w:rPr>
        <w:t xml:space="preserve">, quale sistema di </w:t>
      </w:r>
      <w:proofErr w:type="spellStart"/>
      <w:r w:rsidRPr="008B05F1">
        <w:rPr>
          <w:rFonts w:asciiTheme="minorHAnsi" w:hAnsiTheme="minorHAnsi" w:cs="Arial"/>
          <w:bCs/>
          <w:i/>
          <w:sz w:val="20"/>
          <w:szCs w:val="20"/>
        </w:rPr>
        <w:t>pricing</w:t>
      </w:r>
      <w:proofErr w:type="spellEnd"/>
      <w:r>
        <w:rPr>
          <w:rFonts w:asciiTheme="minorHAnsi" w:hAnsiTheme="minorHAnsi" w:cs="Arial"/>
          <w:bCs/>
          <w:sz w:val="20"/>
          <w:szCs w:val="20"/>
        </w:rPr>
        <w:t xml:space="preserve"> ritenete più adeguato?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Default="00810508" w:rsidP="005E6075">
      <w:pPr>
        <w:spacing w:line="276" w:lineRule="auto"/>
        <w:ind w:left="284"/>
        <w:jc w:val="both"/>
        <w:rPr>
          <w:rFonts w:asciiTheme="minorHAnsi" w:hAnsiTheme="minorHAnsi" w:cs="Arial"/>
          <w:bCs/>
          <w:sz w:val="20"/>
          <w:szCs w:val="20"/>
        </w:rPr>
      </w:pPr>
    </w:p>
    <w:p w:rsidR="00CF5C11" w:rsidRDefault="00D13188" w:rsidP="00547D05">
      <w:pPr>
        <w:numPr>
          <w:ilvl w:val="0"/>
          <w:numId w:val="4"/>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Per la prossima edizione</w:t>
      </w:r>
      <w:r w:rsidR="00810508" w:rsidRPr="00CF5C11">
        <w:rPr>
          <w:rFonts w:asciiTheme="minorHAnsi" w:hAnsiTheme="minorHAnsi" w:cs="Arial"/>
          <w:bCs/>
          <w:sz w:val="20"/>
          <w:szCs w:val="20"/>
        </w:rPr>
        <w:t xml:space="preserve"> </w:t>
      </w:r>
      <w:r>
        <w:rPr>
          <w:rFonts w:asciiTheme="minorHAnsi" w:hAnsiTheme="minorHAnsi" w:cs="Arial"/>
          <w:bCs/>
          <w:sz w:val="20"/>
          <w:szCs w:val="20"/>
        </w:rPr>
        <w:t>si sta valutando di</w:t>
      </w:r>
      <w:r w:rsidR="00810508" w:rsidRPr="00CF5C11">
        <w:rPr>
          <w:rFonts w:asciiTheme="minorHAnsi" w:hAnsiTheme="minorHAnsi" w:cs="Arial"/>
          <w:bCs/>
          <w:sz w:val="20"/>
          <w:szCs w:val="20"/>
        </w:rPr>
        <w:t xml:space="preserve"> introdurre nuovamente le forniture a </w:t>
      </w:r>
      <w:r w:rsidR="00810508" w:rsidRPr="00CF5C11">
        <w:rPr>
          <w:rFonts w:asciiTheme="minorHAnsi" w:hAnsiTheme="minorHAnsi" w:cs="Arial"/>
          <w:bCs/>
          <w:sz w:val="20"/>
          <w:szCs w:val="20"/>
          <w:u w:val="single"/>
        </w:rPr>
        <w:t xml:space="preserve">prezzo fisso </w:t>
      </w:r>
      <w:r w:rsidR="00CF5C11">
        <w:rPr>
          <w:rFonts w:asciiTheme="minorHAnsi" w:hAnsiTheme="minorHAnsi" w:cs="Arial"/>
          <w:bCs/>
          <w:sz w:val="20"/>
          <w:szCs w:val="20"/>
          <w:u w:val="single"/>
        </w:rPr>
        <w:t xml:space="preserve">a 12 </w:t>
      </w:r>
      <w:r w:rsidR="00810508" w:rsidRPr="00CF5C11">
        <w:rPr>
          <w:rFonts w:asciiTheme="minorHAnsi" w:hAnsiTheme="minorHAnsi" w:cs="Arial"/>
          <w:bCs/>
          <w:sz w:val="20"/>
          <w:szCs w:val="20"/>
          <w:u w:val="single"/>
        </w:rPr>
        <w:t>mesi</w:t>
      </w:r>
      <w:r w:rsidR="00810508" w:rsidRPr="00CF5C11">
        <w:rPr>
          <w:rFonts w:asciiTheme="minorHAnsi" w:hAnsiTheme="minorHAnsi" w:cs="Arial"/>
          <w:bCs/>
          <w:sz w:val="20"/>
          <w:szCs w:val="20"/>
        </w:rPr>
        <w:t xml:space="preserve">: </w:t>
      </w:r>
      <w:r w:rsidR="0091172C" w:rsidRPr="00CF5C11">
        <w:rPr>
          <w:rFonts w:asciiTheme="minorHAnsi" w:hAnsiTheme="minorHAnsi" w:cs="Arial"/>
          <w:bCs/>
          <w:i/>
          <w:sz w:val="20"/>
          <w:szCs w:val="20"/>
        </w:rPr>
        <w:t xml:space="preserve">Prodotto Fisso </w:t>
      </w:r>
      <w:r w:rsidR="00CF5C11">
        <w:rPr>
          <w:rFonts w:asciiTheme="minorHAnsi" w:hAnsiTheme="minorHAnsi" w:cs="Arial"/>
          <w:bCs/>
          <w:i/>
          <w:sz w:val="20"/>
          <w:szCs w:val="20"/>
        </w:rPr>
        <w:t xml:space="preserve">a </w:t>
      </w:r>
      <w:r w:rsidR="00810508" w:rsidRPr="00CF5C11">
        <w:rPr>
          <w:rFonts w:asciiTheme="minorHAnsi" w:hAnsiTheme="minorHAnsi" w:cs="Arial"/>
          <w:bCs/>
          <w:i/>
          <w:sz w:val="20"/>
          <w:szCs w:val="20"/>
        </w:rPr>
        <w:t>12 mesi + spread</w:t>
      </w:r>
      <w:r w:rsidR="009659F8" w:rsidRPr="009659F8">
        <w:rPr>
          <w:rFonts w:asciiTheme="minorHAnsi" w:hAnsiTheme="minorHAnsi" w:cs="Arial"/>
          <w:bCs/>
          <w:sz w:val="20"/>
          <w:szCs w:val="20"/>
        </w:rPr>
        <w:t>, come di seguito illustrato</w:t>
      </w:r>
      <w:r>
        <w:rPr>
          <w:rFonts w:asciiTheme="minorHAnsi" w:hAnsiTheme="minorHAnsi" w:cs="Arial"/>
          <w:bCs/>
          <w:sz w:val="20"/>
          <w:szCs w:val="20"/>
        </w:rPr>
        <w:t>, per una quota pari al 20% del massimale iniziale.</w:t>
      </w:r>
    </w:p>
    <w:p w:rsidR="009659F8" w:rsidRDefault="00CF5C11" w:rsidP="009659F8">
      <w:pPr>
        <w:spacing w:line="276" w:lineRule="auto"/>
        <w:ind w:left="357"/>
        <w:jc w:val="both"/>
        <w:rPr>
          <w:rFonts w:asciiTheme="minorHAnsi" w:hAnsiTheme="minorHAnsi" w:cs="Arial"/>
          <w:bCs/>
          <w:sz w:val="20"/>
          <w:szCs w:val="20"/>
        </w:rPr>
      </w:pPr>
      <w:r w:rsidRPr="00CF5C11">
        <w:rPr>
          <w:rFonts w:asciiTheme="minorHAnsi" w:hAnsiTheme="minorHAnsi" w:cs="Arial"/>
          <w:bCs/>
          <w:sz w:val="20"/>
          <w:szCs w:val="20"/>
        </w:rPr>
        <w:t>Il</w:t>
      </w:r>
      <w:r w:rsidRPr="00CF5C11">
        <w:rPr>
          <w:rFonts w:asciiTheme="minorHAnsi" w:hAnsiTheme="minorHAnsi" w:cs="Arial"/>
          <w:bCs/>
          <w:i/>
          <w:sz w:val="20"/>
          <w:szCs w:val="20"/>
        </w:rPr>
        <w:t xml:space="preserve"> Prodotto Fisso a 12 mesi </w:t>
      </w:r>
      <w:r w:rsidRPr="00CF5C11">
        <w:rPr>
          <w:rFonts w:asciiTheme="minorHAnsi" w:hAnsiTheme="minorHAnsi" w:cs="Arial"/>
          <w:bCs/>
          <w:sz w:val="20"/>
          <w:szCs w:val="20"/>
        </w:rPr>
        <w:t xml:space="preserve">è definito come il valore medio delle quotazioni giornaliere disponibili del </w:t>
      </w:r>
      <w:proofErr w:type="spellStart"/>
      <w:r w:rsidRPr="00CF5C11">
        <w:rPr>
          <w:rFonts w:asciiTheme="minorHAnsi" w:hAnsiTheme="minorHAnsi" w:cs="Arial"/>
          <w:bCs/>
          <w:i/>
          <w:sz w:val="20"/>
          <w:szCs w:val="20"/>
        </w:rPr>
        <w:t>Settlement</w:t>
      </w:r>
      <w:proofErr w:type="spellEnd"/>
      <w:r w:rsidRPr="00CF5C11">
        <w:rPr>
          <w:rFonts w:asciiTheme="minorHAnsi" w:hAnsiTheme="minorHAnsi" w:cs="Arial"/>
          <w:bCs/>
          <w:i/>
          <w:sz w:val="20"/>
          <w:szCs w:val="20"/>
        </w:rPr>
        <w:t xml:space="preserve"> Price</w:t>
      </w:r>
      <w:r w:rsidRPr="00CF5C11">
        <w:rPr>
          <w:rFonts w:asciiTheme="minorHAnsi" w:hAnsiTheme="minorHAnsi" w:cs="Arial"/>
          <w:bCs/>
          <w:sz w:val="20"/>
          <w:szCs w:val="20"/>
        </w:rPr>
        <w:t xml:space="preserve"> dell’</w:t>
      </w:r>
      <w:proofErr w:type="spellStart"/>
      <w:r w:rsidRPr="00CF5C11">
        <w:rPr>
          <w:rFonts w:asciiTheme="minorHAnsi" w:hAnsiTheme="minorHAnsi" w:cs="Arial"/>
          <w:bCs/>
          <w:i/>
          <w:sz w:val="20"/>
          <w:szCs w:val="20"/>
        </w:rPr>
        <w:t>Italian</w:t>
      </w:r>
      <w:proofErr w:type="spellEnd"/>
      <w:r w:rsidRPr="00CF5C11">
        <w:rPr>
          <w:rFonts w:asciiTheme="minorHAnsi" w:hAnsiTheme="minorHAnsi" w:cs="Arial"/>
          <w:bCs/>
          <w:i/>
          <w:sz w:val="20"/>
          <w:szCs w:val="20"/>
        </w:rPr>
        <w:t xml:space="preserve"> </w:t>
      </w:r>
      <w:proofErr w:type="spellStart"/>
      <w:r w:rsidRPr="00CF5C11">
        <w:rPr>
          <w:rFonts w:asciiTheme="minorHAnsi" w:hAnsiTheme="minorHAnsi" w:cs="Arial"/>
          <w:bCs/>
          <w:i/>
          <w:sz w:val="20"/>
          <w:szCs w:val="20"/>
        </w:rPr>
        <w:t>Baseload</w:t>
      </w:r>
      <w:proofErr w:type="spellEnd"/>
      <w:r w:rsidRPr="00CF5C11">
        <w:rPr>
          <w:rFonts w:asciiTheme="minorHAnsi" w:hAnsiTheme="minorHAnsi" w:cs="Arial"/>
          <w:bCs/>
          <w:i/>
          <w:sz w:val="20"/>
          <w:szCs w:val="20"/>
        </w:rPr>
        <w:t xml:space="preserve"> </w:t>
      </w:r>
      <w:proofErr w:type="spellStart"/>
      <w:r w:rsidRPr="00CF5C11">
        <w:rPr>
          <w:rFonts w:asciiTheme="minorHAnsi" w:hAnsiTheme="minorHAnsi" w:cs="Arial"/>
          <w:bCs/>
          <w:i/>
          <w:sz w:val="20"/>
          <w:szCs w:val="20"/>
        </w:rPr>
        <w:t>Quarter</w:t>
      </w:r>
      <w:proofErr w:type="spellEnd"/>
      <w:r w:rsidRPr="00CF5C11">
        <w:rPr>
          <w:rFonts w:asciiTheme="minorHAnsi" w:hAnsiTheme="minorHAnsi" w:cs="Arial"/>
          <w:bCs/>
          <w:i/>
          <w:sz w:val="20"/>
          <w:szCs w:val="20"/>
        </w:rPr>
        <w:t xml:space="preserve"> </w:t>
      </w:r>
      <w:proofErr w:type="spellStart"/>
      <w:r w:rsidRPr="00CF5C11">
        <w:rPr>
          <w:rFonts w:asciiTheme="minorHAnsi" w:hAnsiTheme="minorHAnsi" w:cs="Arial"/>
          <w:bCs/>
          <w:i/>
          <w:sz w:val="20"/>
          <w:szCs w:val="20"/>
        </w:rPr>
        <w:t>Futures</w:t>
      </w:r>
      <w:proofErr w:type="spellEnd"/>
      <w:r w:rsidRPr="00CF5C11">
        <w:rPr>
          <w:rFonts w:asciiTheme="minorHAnsi" w:hAnsiTheme="minorHAnsi" w:cs="Arial"/>
          <w:bCs/>
          <w:i/>
          <w:sz w:val="20"/>
          <w:szCs w:val="20"/>
        </w:rPr>
        <w:t xml:space="preserve"> </w:t>
      </w:r>
      <w:r w:rsidRPr="00CF5C11">
        <w:rPr>
          <w:rFonts w:asciiTheme="minorHAnsi" w:hAnsiTheme="minorHAnsi" w:cs="Arial"/>
          <w:bCs/>
          <w:sz w:val="20"/>
          <w:szCs w:val="20"/>
        </w:rPr>
        <w:t xml:space="preserve">relative ai 4 </w:t>
      </w:r>
      <w:proofErr w:type="spellStart"/>
      <w:r w:rsidRPr="00CF5C11">
        <w:rPr>
          <w:rFonts w:asciiTheme="minorHAnsi" w:hAnsiTheme="minorHAnsi" w:cs="Arial"/>
          <w:bCs/>
          <w:sz w:val="20"/>
          <w:szCs w:val="20"/>
        </w:rPr>
        <w:t>Quarter</w:t>
      </w:r>
      <w:proofErr w:type="spellEnd"/>
      <w:r w:rsidRPr="00CF5C11">
        <w:rPr>
          <w:rFonts w:asciiTheme="minorHAnsi" w:hAnsiTheme="minorHAnsi" w:cs="Arial"/>
          <w:bCs/>
          <w:sz w:val="20"/>
          <w:szCs w:val="20"/>
        </w:rPr>
        <w:t xml:space="preserve"> che approssimano al meglio i 12 mesi di fornitura, rilevate sull’</w:t>
      </w:r>
      <w:proofErr w:type="spellStart"/>
      <w:r w:rsidRPr="00CF5C11">
        <w:rPr>
          <w:rFonts w:asciiTheme="minorHAnsi" w:hAnsiTheme="minorHAnsi" w:cs="Arial"/>
          <w:bCs/>
          <w:i/>
          <w:sz w:val="20"/>
          <w:szCs w:val="20"/>
        </w:rPr>
        <w:t>Italian</w:t>
      </w:r>
      <w:proofErr w:type="spellEnd"/>
      <w:r w:rsidRPr="00CF5C11">
        <w:rPr>
          <w:rFonts w:asciiTheme="minorHAnsi" w:hAnsiTheme="minorHAnsi" w:cs="Arial"/>
          <w:bCs/>
          <w:i/>
          <w:sz w:val="20"/>
          <w:szCs w:val="20"/>
        </w:rPr>
        <w:t xml:space="preserve"> </w:t>
      </w:r>
      <w:proofErr w:type="spellStart"/>
      <w:r w:rsidRPr="00CF5C11">
        <w:rPr>
          <w:rFonts w:asciiTheme="minorHAnsi" w:hAnsiTheme="minorHAnsi" w:cs="Arial"/>
          <w:bCs/>
          <w:i/>
          <w:sz w:val="20"/>
          <w:szCs w:val="20"/>
        </w:rPr>
        <w:t>Futures</w:t>
      </w:r>
      <w:proofErr w:type="spellEnd"/>
      <w:r w:rsidRPr="00CF5C11">
        <w:rPr>
          <w:rFonts w:asciiTheme="minorHAnsi" w:hAnsiTheme="minorHAnsi" w:cs="Arial"/>
          <w:bCs/>
          <w:i/>
          <w:sz w:val="20"/>
          <w:szCs w:val="20"/>
        </w:rPr>
        <w:t xml:space="preserve"> | EEX Power </w:t>
      </w:r>
      <w:proofErr w:type="spellStart"/>
      <w:r w:rsidRPr="00CF5C11">
        <w:rPr>
          <w:rFonts w:asciiTheme="minorHAnsi" w:hAnsiTheme="minorHAnsi" w:cs="Arial"/>
          <w:bCs/>
          <w:i/>
          <w:sz w:val="20"/>
          <w:szCs w:val="20"/>
        </w:rPr>
        <w:t>Derivatives</w:t>
      </w:r>
      <w:proofErr w:type="spellEnd"/>
      <w:r w:rsidRPr="00CF5C11">
        <w:rPr>
          <w:rFonts w:asciiTheme="minorHAnsi" w:hAnsiTheme="minorHAnsi" w:cs="Arial"/>
          <w:bCs/>
          <w:i/>
          <w:sz w:val="20"/>
          <w:szCs w:val="20"/>
        </w:rPr>
        <w:t xml:space="preserve"> dell’</w:t>
      </w:r>
      <w:proofErr w:type="spellStart"/>
      <w:r w:rsidRPr="00CF5C11">
        <w:rPr>
          <w:rFonts w:asciiTheme="minorHAnsi" w:hAnsiTheme="minorHAnsi" w:cs="Arial"/>
          <w:bCs/>
          <w:i/>
          <w:sz w:val="20"/>
          <w:szCs w:val="20"/>
        </w:rPr>
        <w:t>European</w:t>
      </w:r>
      <w:proofErr w:type="spellEnd"/>
      <w:r w:rsidRPr="00CF5C11">
        <w:rPr>
          <w:rFonts w:asciiTheme="minorHAnsi" w:hAnsiTheme="minorHAnsi" w:cs="Arial"/>
          <w:bCs/>
          <w:i/>
          <w:sz w:val="20"/>
          <w:szCs w:val="20"/>
        </w:rPr>
        <w:t xml:space="preserve"> Energy Exchange AG (</w:t>
      </w:r>
      <w:proofErr w:type="spellStart"/>
      <w:r w:rsidRPr="00CF5C11">
        <w:rPr>
          <w:rFonts w:asciiTheme="minorHAnsi" w:hAnsiTheme="minorHAnsi" w:cs="Arial"/>
          <w:bCs/>
          <w:i/>
          <w:sz w:val="20"/>
          <w:szCs w:val="20"/>
        </w:rPr>
        <w:t>eeX</w:t>
      </w:r>
      <w:proofErr w:type="spellEnd"/>
      <w:r w:rsidRPr="00CF5C11">
        <w:rPr>
          <w:rFonts w:asciiTheme="minorHAnsi" w:hAnsiTheme="minorHAnsi" w:cs="Arial"/>
          <w:bCs/>
          <w:i/>
          <w:sz w:val="20"/>
          <w:szCs w:val="20"/>
        </w:rPr>
        <w:t xml:space="preserve">) </w:t>
      </w:r>
      <w:r w:rsidRPr="00CF5C11">
        <w:rPr>
          <w:rFonts w:asciiTheme="minorHAnsi" w:hAnsiTheme="minorHAnsi" w:cs="Arial"/>
          <w:bCs/>
          <w:sz w:val="20"/>
          <w:szCs w:val="20"/>
        </w:rPr>
        <w:t>dal 21esimo all’ultimo giorno - compresi - del quarto mese antecedente l’attivazione della fornitura (coincidente con il mese antecedente a quello di ricezione dell’ODA).</w:t>
      </w:r>
      <w:r w:rsidR="00810508" w:rsidRPr="00CF5C11">
        <w:rPr>
          <w:rFonts w:asciiTheme="minorHAnsi" w:hAnsiTheme="minorHAnsi" w:cs="Arial"/>
          <w:bCs/>
          <w:sz w:val="20"/>
          <w:szCs w:val="20"/>
        </w:rPr>
        <w:t xml:space="preserve"> </w:t>
      </w:r>
      <w:r>
        <w:rPr>
          <w:rFonts w:asciiTheme="minorHAnsi" w:hAnsiTheme="minorHAnsi" w:cs="Arial"/>
          <w:bCs/>
          <w:sz w:val="20"/>
          <w:szCs w:val="20"/>
        </w:rPr>
        <w:t xml:space="preserve">Si prevede che sarà possibile ricevere ODA per forniture a prezzo fisso a 12 mesi </w:t>
      </w:r>
      <w:r w:rsidR="009659F8">
        <w:rPr>
          <w:rFonts w:asciiTheme="minorHAnsi" w:hAnsiTheme="minorHAnsi" w:cs="Arial"/>
          <w:bCs/>
          <w:sz w:val="20"/>
          <w:szCs w:val="20"/>
        </w:rPr>
        <w:t>solo nei p</w:t>
      </w:r>
      <w:r w:rsidR="00D13188">
        <w:rPr>
          <w:rFonts w:asciiTheme="minorHAnsi" w:hAnsiTheme="minorHAnsi" w:cs="Arial"/>
          <w:bCs/>
          <w:sz w:val="20"/>
          <w:szCs w:val="20"/>
        </w:rPr>
        <w:t>rimi 10 giorni solari del mese.</w:t>
      </w:r>
    </w:p>
    <w:p w:rsidR="00810508" w:rsidRDefault="00D13188" w:rsidP="009659F8">
      <w:pPr>
        <w:spacing w:after="120" w:line="276" w:lineRule="auto"/>
        <w:ind w:left="360"/>
        <w:jc w:val="both"/>
        <w:rPr>
          <w:rFonts w:asciiTheme="minorHAnsi" w:hAnsiTheme="minorHAnsi" w:cs="Arial"/>
          <w:bCs/>
          <w:sz w:val="20"/>
          <w:szCs w:val="20"/>
        </w:rPr>
      </w:pPr>
      <w:r>
        <w:rPr>
          <w:rFonts w:asciiTheme="minorHAnsi" w:hAnsiTheme="minorHAnsi" w:cs="Arial"/>
          <w:bCs/>
          <w:sz w:val="20"/>
          <w:szCs w:val="20"/>
        </w:rPr>
        <w:t xml:space="preserve">Ritenete che sia possibile rendere disponibile tale tipologia di fornitura? </w:t>
      </w:r>
      <w:r w:rsidR="00810508">
        <w:rPr>
          <w:rFonts w:asciiTheme="minorHAnsi" w:hAnsiTheme="minorHAnsi" w:cs="Arial"/>
          <w:bCs/>
          <w:sz w:val="20"/>
          <w:szCs w:val="20"/>
        </w:rPr>
        <w:t xml:space="preserve">In caso di risposta negativa, quale altra tipologia di </w:t>
      </w:r>
      <w:proofErr w:type="spellStart"/>
      <w:r w:rsidR="00810508" w:rsidRPr="007B5A42">
        <w:rPr>
          <w:rFonts w:asciiTheme="minorHAnsi" w:hAnsiTheme="minorHAnsi" w:cs="Arial"/>
          <w:bCs/>
          <w:i/>
          <w:sz w:val="20"/>
          <w:szCs w:val="20"/>
        </w:rPr>
        <w:t>pricing</w:t>
      </w:r>
      <w:proofErr w:type="spellEnd"/>
      <w:r w:rsidR="00810508">
        <w:rPr>
          <w:rFonts w:asciiTheme="minorHAnsi" w:hAnsiTheme="minorHAnsi" w:cs="Arial"/>
          <w:bCs/>
          <w:sz w:val="20"/>
          <w:szCs w:val="20"/>
        </w:rPr>
        <w:t xml:space="preserve"> ritenete possa affiancare quelle di cui alla domanda </w:t>
      </w:r>
      <w:r w:rsidR="005E6075">
        <w:rPr>
          <w:rFonts w:asciiTheme="minorHAnsi" w:hAnsiTheme="minorHAnsi" w:cs="Arial"/>
          <w:bCs/>
          <w:sz w:val="20"/>
          <w:szCs w:val="20"/>
        </w:rPr>
        <w:t xml:space="preserve">n. </w:t>
      </w:r>
      <w:r w:rsidR="00810508">
        <w:rPr>
          <w:rFonts w:asciiTheme="minorHAnsi" w:hAnsiTheme="minorHAnsi" w:cs="Arial"/>
          <w:bCs/>
          <w:sz w:val="20"/>
          <w:szCs w:val="20"/>
        </w:rPr>
        <w:t xml:space="preserve">8 (es. altra tipologia di prezzo fisso, prezzo variabile con </w:t>
      </w:r>
      <w:proofErr w:type="spellStart"/>
      <w:r w:rsidR="00810508" w:rsidRPr="007B5A42">
        <w:rPr>
          <w:rFonts w:asciiTheme="minorHAnsi" w:hAnsiTheme="minorHAnsi" w:cs="Arial"/>
          <w:bCs/>
          <w:i/>
          <w:sz w:val="20"/>
          <w:szCs w:val="20"/>
        </w:rPr>
        <w:t>cap</w:t>
      </w:r>
      <w:proofErr w:type="spellEnd"/>
      <w:r w:rsidR="00810508">
        <w:rPr>
          <w:rFonts w:asciiTheme="minorHAnsi" w:hAnsiTheme="minorHAnsi" w:cs="Arial"/>
          <w:bCs/>
          <w:sz w:val="20"/>
          <w:szCs w:val="20"/>
        </w:rPr>
        <w:t>, …)?</w:t>
      </w:r>
      <w:r w:rsidR="00CD006C">
        <w:rPr>
          <w:rFonts w:asciiTheme="minorHAnsi" w:hAnsiTheme="minorHAnsi" w:cs="Arial"/>
          <w:bCs/>
          <w:sz w:val="20"/>
          <w:szCs w:val="20"/>
        </w:rPr>
        <w:t xml:space="preserve"> In caso di risposta positiva, ritenete possibile aumentare al 50% del massimale iniziale la quota di energia da rendere disponibile per </w:t>
      </w:r>
      <w:r w:rsidR="00CD006C" w:rsidRPr="00CF5C11">
        <w:rPr>
          <w:rFonts w:asciiTheme="minorHAnsi" w:hAnsiTheme="minorHAnsi" w:cs="Arial"/>
          <w:bCs/>
          <w:sz w:val="20"/>
          <w:szCs w:val="20"/>
        </w:rPr>
        <w:t xml:space="preserve">le forniture a </w:t>
      </w:r>
      <w:r w:rsidR="00CD006C" w:rsidRPr="00CF5C11">
        <w:rPr>
          <w:rFonts w:asciiTheme="minorHAnsi" w:hAnsiTheme="minorHAnsi" w:cs="Arial"/>
          <w:bCs/>
          <w:sz w:val="20"/>
          <w:szCs w:val="20"/>
          <w:u w:val="single"/>
        </w:rPr>
        <w:t xml:space="preserve">prezzo fisso </w:t>
      </w:r>
      <w:r w:rsidR="00CD006C">
        <w:rPr>
          <w:rFonts w:asciiTheme="minorHAnsi" w:hAnsiTheme="minorHAnsi" w:cs="Arial"/>
          <w:bCs/>
          <w:sz w:val="20"/>
          <w:szCs w:val="20"/>
          <w:u w:val="single"/>
        </w:rPr>
        <w:t xml:space="preserve">a 12 </w:t>
      </w:r>
      <w:r w:rsidR="00CD006C" w:rsidRPr="00CF5C11">
        <w:rPr>
          <w:rFonts w:asciiTheme="minorHAnsi" w:hAnsiTheme="minorHAnsi" w:cs="Arial"/>
          <w:bCs/>
          <w:sz w:val="20"/>
          <w:szCs w:val="20"/>
          <w:u w:val="single"/>
        </w:rPr>
        <w:t>mesi</w:t>
      </w:r>
      <w:r w:rsidR="00CD006C">
        <w:rPr>
          <w:rFonts w:asciiTheme="minorHAnsi" w:hAnsiTheme="minorHAnsi" w:cs="Arial"/>
          <w:bCs/>
          <w:sz w:val="20"/>
          <w:szCs w:val="20"/>
          <w:u w:val="single"/>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r>
              <w:rPr>
                <w:rFonts w:asciiTheme="minorHAnsi" w:hAnsiTheme="minorHAnsi" w:cs="Arial"/>
                <w:bCs/>
                <w:sz w:val="20"/>
                <w:szCs w:val="20"/>
              </w:rPr>
              <w:t xml:space="preserve"> </w:t>
            </w:r>
          </w:p>
        </w:tc>
      </w:tr>
    </w:tbl>
    <w:p w:rsidR="00810508" w:rsidRDefault="00810508" w:rsidP="00D13188">
      <w:pPr>
        <w:spacing w:line="276" w:lineRule="auto"/>
        <w:ind w:left="284"/>
        <w:jc w:val="both"/>
        <w:rPr>
          <w:rFonts w:asciiTheme="minorHAnsi" w:hAnsiTheme="minorHAnsi" w:cs="Arial"/>
          <w:bCs/>
          <w:sz w:val="20"/>
          <w:szCs w:val="20"/>
        </w:rPr>
      </w:pPr>
    </w:p>
    <w:p w:rsidR="00810508" w:rsidRPr="00AF2233" w:rsidRDefault="00810508" w:rsidP="00547D05">
      <w:pPr>
        <w:numPr>
          <w:ilvl w:val="0"/>
          <w:numId w:val="4"/>
        </w:numPr>
        <w:spacing w:after="120" w:line="276" w:lineRule="auto"/>
        <w:ind w:left="283" w:hanging="357"/>
        <w:jc w:val="both"/>
        <w:rPr>
          <w:rFonts w:asciiTheme="minorHAnsi" w:hAnsiTheme="minorHAnsi" w:cs="Arial"/>
          <w:bCs/>
          <w:sz w:val="20"/>
          <w:szCs w:val="20"/>
        </w:rPr>
      </w:pPr>
      <w:r w:rsidRPr="00AF2233">
        <w:rPr>
          <w:rFonts w:asciiTheme="minorHAnsi" w:hAnsiTheme="minorHAnsi" w:cs="Arial"/>
          <w:bCs/>
          <w:sz w:val="20"/>
          <w:szCs w:val="20"/>
        </w:rPr>
        <w:t xml:space="preserve">Nella precedente edizione, il Fornitore aggiudicatario rendeva disponibile una quota di energia elettrica, pari al </w:t>
      </w:r>
      <w:r>
        <w:rPr>
          <w:rFonts w:asciiTheme="minorHAnsi" w:hAnsiTheme="minorHAnsi" w:cs="Arial"/>
          <w:bCs/>
          <w:sz w:val="20"/>
          <w:szCs w:val="20"/>
        </w:rPr>
        <w:t>5</w:t>
      </w:r>
      <w:r w:rsidRPr="00AF2233">
        <w:rPr>
          <w:rFonts w:asciiTheme="minorHAnsi" w:hAnsiTheme="minorHAnsi" w:cs="Arial"/>
          <w:bCs/>
          <w:sz w:val="20"/>
          <w:szCs w:val="20"/>
        </w:rPr>
        <w:t xml:space="preserve">0% del massimale iniziale, la cui origine/produzione </w:t>
      </w:r>
      <w:r>
        <w:rPr>
          <w:rFonts w:asciiTheme="minorHAnsi" w:hAnsiTheme="minorHAnsi" w:cs="Arial"/>
          <w:bCs/>
          <w:sz w:val="20"/>
          <w:szCs w:val="20"/>
        </w:rPr>
        <w:t>è</w:t>
      </w:r>
      <w:r w:rsidRPr="00AF2233">
        <w:rPr>
          <w:rFonts w:asciiTheme="minorHAnsi" w:hAnsiTheme="minorHAnsi" w:cs="Arial"/>
          <w:bCs/>
          <w:sz w:val="20"/>
          <w:szCs w:val="20"/>
        </w:rPr>
        <w:t xml:space="preserve"> certificata tramite Garanzia d’Origine (Opzione Verde). Come valutate l’incremento di tale quota</w:t>
      </w:r>
      <w:r w:rsidR="00CD006C">
        <w:rPr>
          <w:rFonts w:asciiTheme="minorHAnsi" w:hAnsiTheme="minorHAnsi" w:cs="Arial"/>
          <w:bCs/>
          <w:sz w:val="20"/>
          <w:szCs w:val="20"/>
        </w:rPr>
        <w:t xml:space="preserve"> al 100</w:t>
      </w:r>
      <w:r>
        <w:rPr>
          <w:rFonts w:asciiTheme="minorHAnsi" w:hAnsiTheme="minorHAnsi" w:cs="Arial"/>
          <w:bCs/>
          <w:sz w:val="20"/>
          <w:szCs w:val="20"/>
        </w:rPr>
        <w:t>%</w:t>
      </w:r>
      <w:r w:rsidRPr="00AF2233">
        <w:rPr>
          <w:rFonts w:asciiTheme="minorHAnsi" w:hAnsiTheme="minorHAnsi" w:cs="Arial"/>
          <w:bCs/>
          <w:sz w:val="20"/>
          <w:szCs w:val="20"/>
        </w:rPr>
        <w:t>? Quale valore</w:t>
      </w:r>
      <w:r>
        <w:rPr>
          <w:rFonts w:asciiTheme="minorHAnsi" w:hAnsiTheme="minorHAnsi" w:cs="Arial"/>
          <w:bCs/>
          <w:sz w:val="20"/>
          <w:szCs w:val="20"/>
        </w:rPr>
        <w:t xml:space="preserve"> percentuale alternativo</w:t>
      </w:r>
      <w:r w:rsidRPr="00AF2233">
        <w:rPr>
          <w:rFonts w:asciiTheme="minorHAnsi" w:hAnsiTheme="minorHAnsi" w:cs="Arial"/>
          <w:bCs/>
          <w:sz w:val="20"/>
          <w:szCs w:val="20"/>
        </w:rPr>
        <w:t xml:space="preserve"> prevedreste per tale quota?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Pr="00A631BA" w:rsidRDefault="00810508" w:rsidP="00810508">
      <w:pPr>
        <w:ind w:left="284"/>
        <w:jc w:val="both"/>
        <w:rPr>
          <w:rFonts w:asciiTheme="minorHAnsi" w:hAnsiTheme="minorHAnsi" w:cs="Arial"/>
          <w:bCs/>
          <w:sz w:val="20"/>
          <w:szCs w:val="20"/>
        </w:rPr>
      </w:pPr>
    </w:p>
    <w:p w:rsidR="002A6A9A" w:rsidRPr="002A6A9A" w:rsidRDefault="002A6A9A" w:rsidP="002A6A9A">
      <w:pPr>
        <w:numPr>
          <w:ilvl w:val="0"/>
          <w:numId w:val="4"/>
        </w:numPr>
        <w:spacing w:after="120" w:line="276" w:lineRule="auto"/>
        <w:ind w:left="283" w:hanging="357"/>
        <w:jc w:val="both"/>
        <w:rPr>
          <w:rFonts w:asciiTheme="minorHAnsi" w:hAnsiTheme="minorHAnsi" w:cs="Arial"/>
          <w:bCs/>
          <w:sz w:val="20"/>
          <w:szCs w:val="20"/>
        </w:rPr>
      </w:pPr>
      <w:r w:rsidRPr="002A6A9A">
        <w:rPr>
          <w:rFonts w:asciiTheme="minorHAnsi" w:hAnsiTheme="minorHAnsi" w:cs="Arial"/>
          <w:bCs/>
          <w:sz w:val="20"/>
          <w:szCs w:val="20"/>
        </w:rPr>
        <w:t>Con riferimento al corrispettivo a copertura dell’onere netto di approvvigionamento della capacità, di cui all’allegato A della deliberazione ARG/</w:t>
      </w:r>
      <w:proofErr w:type="spellStart"/>
      <w:r w:rsidRPr="002A6A9A">
        <w:rPr>
          <w:rFonts w:asciiTheme="minorHAnsi" w:hAnsiTheme="minorHAnsi" w:cs="Arial"/>
          <w:bCs/>
          <w:sz w:val="20"/>
          <w:szCs w:val="20"/>
        </w:rPr>
        <w:t>elt</w:t>
      </w:r>
      <w:proofErr w:type="spellEnd"/>
      <w:r w:rsidRPr="002A6A9A">
        <w:rPr>
          <w:rFonts w:asciiTheme="minorHAnsi" w:hAnsiTheme="minorHAnsi" w:cs="Arial"/>
          <w:bCs/>
          <w:sz w:val="20"/>
          <w:szCs w:val="20"/>
        </w:rPr>
        <w:t xml:space="preserve"> 98/11, per la prossima edizione si prevede che: </w:t>
      </w:r>
    </w:p>
    <w:p w:rsidR="002A6A9A" w:rsidRPr="002A6A9A" w:rsidRDefault="002A6A9A" w:rsidP="002A6A9A">
      <w:pPr>
        <w:spacing w:after="120" w:line="276" w:lineRule="auto"/>
        <w:ind w:left="708" w:hanging="359"/>
        <w:jc w:val="both"/>
        <w:rPr>
          <w:rFonts w:asciiTheme="minorHAnsi" w:hAnsiTheme="minorHAnsi" w:cs="Arial"/>
          <w:bCs/>
          <w:sz w:val="20"/>
          <w:szCs w:val="20"/>
        </w:rPr>
      </w:pPr>
      <w:r w:rsidRPr="002A6A9A">
        <w:rPr>
          <w:rFonts w:asciiTheme="minorHAnsi" w:hAnsiTheme="minorHAnsi" w:cs="Arial"/>
          <w:bCs/>
          <w:sz w:val="20"/>
          <w:szCs w:val="20"/>
        </w:rPr>
        <w:lastRenderedPageBreak/>
        <w:t>•</w:t>
      </w:r>
      <w:r w:rsidRPr="002A6A9A">
        <w:rPr>
          <w:rFonts w:asciiTheme="minorHAnsi" w:hAnsiTheme="minorHAnsi" w:cs="Arial"/>
          <w:bCs/>
          <w:sz w:val="20"/>
          <w:szCs w:val="20"/>
        </w:rPr>
        <w:tab/>
        <w:t>per le utenze non orarie, verrà applicato il corrispettivo unitario pubblicato da Terna S.p.A. ai sensi dell’art. 6.2 della deliberazione 566/21/R/</w:t>
      </w:r>
      <w:proofErr w:type="spellStart"/>
      <w:r w:rsidRPr="002A6A9A">
        <w:rPr>
          <w:rFonts w:asciiTheme="minorHAnsi" w:hAnsiTheme="minorHAnsi" w:cs="Arial"/>
          <w:bCs/>
          <w:sz w:val="20"/>
          <w:szCs w:val="20"/>
        </w:rPr>
        <w:t>eel</w:t>
      </w:r>
      <w:proofErr w:type="spellEnd"/>
      <w:r w:rsidRPr="002A6A9A">
        <w:rPr>
          <w:rFonts w:asciiTheme="minorHAnsi" w:hAnsiTheme="minorHAnsi" w:cs="Arial"/>
          <w:bCs/>
          <w:sz w:val="20"/>
          <w:szCs w:val="20"/>
        </w:rPr>
        <w:t>;</w:t>
      </w:r>
    </w:p>
    <w:p w:rsidR="002A6A9A" w:rsidRPr="002A6A9A" w:rsidRDefault="002A6A9A" w:rsidP="002A6A9A">
      <w:pPr>
        <w:spacing w:after="120" w:line="276" w:lineRule="auto"/>
        <w:ind w:left="349"/>
        <w:jc w:val="both"/>
        <w:rPr>
          <w:rFonts w:asciiTheme="minorHAnsi" w:hAnsiTheme="minorHAnsi" w:cs="Arial"/>
          <w:bCs/>
          <w:sz w:val="20"/>
          <w:szCs w:val="20"/>
        </w:rPr>
      </w:pPr>
      <w:r w:rsidRPr="002A6A9A">
        <w:rPr>
          <w:rFonts w:asciiTheme="minorHAnsi" w:hAnsiTheme="minorHAnsi" w:cs="Arial"/>
          <w:bCs/>
          <w:sz w:val="20"/>
          <w:szCs w:val="20"/>
        </w:rPr>
        <w:t>•</w:t>
      </w:r>
      <w:r w:rsidRPr="002A6A9A">
        <w:rPr>
          <w:rFonts w:asciiTheme="minorHAnsi" w:hAnsiTheme="minorHAnsi" w:cs="Arial"/>
          <w:bCs/>
          <w:sz w:val="20"/>
          <w:szCs w:val="20"/>
        </w:rPr>
        <w:tab/>
        <w:t xml:space="preserve">per le utenze orarie, verrà applicato: </w:t>
      </w:r>
    </w:p>
    <w:p w:rsidR="002A6A9A" w:rsidRPr="002A6A9A" w:rsidRDefault="002A6A9A" w:rsidP="002A6A9A">
      <w:pPr>
        <w:pStyle w:val="Paragrafoelenco"/>
        <w:numPr>
          <w:ilvl w:val="0"/>
          <w:numId w:val="6"/>
        </w:numPr>
        <w:spacing w:after="120" w:line="276" w:lineRule="auto"/>
        <w:ind w:left="993" w:hanging="425"/>
        <w:jc w:val="both"/>
        <w:rPr>
          <w:rFonts w:asciiTheme="minorHAnsi" w:hAnsiTheme="minorHAnsi" w:cs="Arial"/>
          <w:bCs/>
          <w:sz w:val="20"/>
          <w:szCs w:val="20"/>
        </w:rPr>
      </w:pPr>
      <w:r w:rsidRPr="002A6A9A">
        <w:rPr>
          <w:rFonts w:asciiTheme="minorHAnsi" w:hAnsiTheme="minorHAnsi" w:cs="Arial"/>
          <w:bCs/>
          <w:sz w:val="20"/>
          <w:szCs w:val="20"/>
        </w:rPr>
        <w:t>il corrispettivo unitario pubblicato da Terna S.p.A. ai sensi dell’articolo 14.4 della deliberazione ARG/</w:t>
      </w:r>
      <w:proofErr w:type="spellStart"/>
      <w:r w:rsidRPr="002A6A9A">
        <w:rPr>
          <w:rFonts w:asciiTheme="minorHAnsi" w:hAnsiTheme="minorHAnsi" w:cs="Arial"/>
          <w:bCs/>
          <w:sz w:val="20"/>
          <w:szCs w:val="20"/>
        </w:rPr>
        <w:t>elt</w:t>
      </w:r>
      <w:proofErr w:type="spellEnd"/>
      <w:r w:rsidRPr="002A6A9A">
        <w:rPr>
          <w:rFonts w:asciiTheme="minorHAnsi" w:hAnsiTheme="minorHAnsi" w:cs="Arial"/>
          <w:bCs/>
          <w:sz w:val="20"/>
          <w:szCs w:val="20"/>
        </w:rPr>
        <w:t xml:space="preserve"> 98/11, per l’energia elettrica prelevata nelle ore diverse dalle ore di picco del sistema elettrico, </w:t>
      </w:r>
    </w:p>
    <w:p w:rsidR="002A6A9A" w:rsidRPr="002A6A9A" w:rsidRDefault="002A6A9A" w:rsidP="002A6A9A">
      <w:pPr>
        <w:pStyle w:val="Paragrafoelenco"/>
        <w:numPr>
          <w:ilvl w:val="0"/>
          <w:numId w:val="6"/>
        </w:numPr>
        <w:spacing w:after="120" w:line="276" w:lineRule="auto"/>
        <w:ind w:left="993" w:hanging="425"/>
        <w:jc w:val="both"/>
        <w:rPr>
          <w:rFonts w:asciiTheme="minorHAnsi" w:hAnsiTheme="minorHAnsi" w:cs="Arial"/>
          <w:bCs/>
          <w:sz w:val="20"/>
          <w:szCs w:val="20"/>
        </w:rPr>
      </w:pPr>
      <w:r w:rsidRPr="002A6A9A">
        <w:rPr>
          <w:rFonts w:asciiTheme="minorHAnsi" w:hAnsiTheme="minorHAnsi" w:cs="Arial"/>
          <w:bCs/>
          <w:sz w:val="20"/>
          <w:szCs w:val="20"/>
        </w:rPr>
        <w:t>il corrispettivo unitario pubblicato da Terna S.p.A. ai sensi dell’articolo 14.3 della deliberazione ARG/</w:t>
      </w:r>
      <w:proofErr w:type="spellStart"/>
      <w:r w:rsidRPr="002A6A9A">
        <w:rPr>
          <w:rFonts w:asciiTheme="minorHAnsi" w:hAnsiTheme="minorHAnsi" w:cs="Arial"/>
          <w:bCs/>
          <w:sz w:val="20"/>
          <w:szCs w:val="20"/>
        </w:rPr>
        <w:t>elt</w:t>
      </w:r>
      <w:proofErr w:type="spellEnd"/>
      <w:r w:rsidRPr="002A6A9A">
        <w:rPr>
          <w:rFonts w:asciiTheme="minorHAnsi" w:hAnsiTheme="minorHAnsi" w:cs="Arial"/>
          <w:bCs/>
          <w:sz w:val="20"/>
          <w:szCs w:val="20"/>
        </w:rPr>
        <w:t xml:space="preserve"> 98/11, per l’energia elettrica prelevata nelle ore di picco del sistema elettrico.</w:t>
      </w:r>
    </w:p>
    <w:p w:rsidR="00810508" w:rsidRPr="008B6850" w:rsidRDefault="002A6A9A" w:rsidP="002A6A9A">
      <w:pPr>
        <w:spacing w:after="120" w:line="276" w:lineRule="auto"/>
        <w:ind w:left="349"/>
        <w:jc w:val="both"/>
        <w:rPr>
          <w:rFonts w:asciiTheme="minorHAnsi" w:hAnsiTheme="minorHAnsi" w:cs="Arial"/>
          <w:bCs/>
          <w:sz w:val="20"/>
          <w:szCs w:val="20"/>
        </w:rPr>
      </w:pPr>
      <w:r w:rsidRPr="002A6A9A">
        <w:rPr>
          <w:rFonts w:asciiTheme="minorHAnsi" w:hAnsiTheme="minorHAnsi" w:cs="Arial"/>
          <w:bCs/>
          <w:sz w:val="20"/>
          <w:szCs w:val="20"/>
        </w:rPr>
        <w:t xml:space="preserve">Individuate qualche criticità? Ritenete ci sia una modalità </w:t>
      </w:r>
      <w:r>
        <w:rPr>
          <w:rFonts w:asciiTheme="minorHAnsi" w:hAnsiTheme="minorHAnsi" w:cs="Arial"/>
          <w:bCs/>
          <w:sz w:val="20"/>
          <w:szCs w:val="20"/>
        </w:rPr>
        <w:t xml:space="preserve">di applicazione </w:t>
      </w:r>
      <w:r w:rsidRPr="002A6A9A">
        <w:rPr>
          <w:rFonts w:asciiTheme="minorHAnsi" w:hAnsiTheme="minorHAnsi" w:cs="Arial"/>
          <w:bCs/>
          <w:sz w:val="20"/>
          <w:szCs w:val="20"/>
        </w:rPr>
        <w:t xml:space="preserve">più adeguata?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Pr="00A631BA" w:rsidRDefault="00810508" w:rsidP="00810508">
      <w:pPr>
        <w:ind w:left="284"/>
        <w:jc w:val="both"/>
        <w:rPr>
          <w:rFonts w:asciiTheme="minorHAnsi" w:hAnsiTheme="minorHAnsi" w:cs="Arial"/>
          <w:bCs/>
          <w:sz w:val="20"/>
          <w:szCs w:val="20"/>
        </w:rPr>
      </w:pPr>
    </w:p>
    <w:p w:rsidR="00810508" w:rsidRDefault="00810508" w:rsidP="00547D05">
      <w:pPr>
        <w:numPr>
          <w:ilvl w:val="0"/>
          <w:numId w:val="4"/>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Quali </w:t>
      </w:r>
      <w:r>
        <w:rPr>
          <w:rFonts w:asciiTheme="minorHAnsi" w:hAnsiTheme="minorHAnsi" w:cs="Arial"/>
          <w:bCs/>
          <w:sz w:val="20"/>
          <w:szCs w:val="20"/>
        </w:rPr>
        <w:t xml:space="preserve">criticità </w:t>
      </w:r>
      <w:r w:rsidRPr="009D62CE">
        <w:rPr>
          <w:rFonts w:asciiTheme="minorHAnsi" w:hAnsiTheme="minorHAnsi" w:cs="Arial"/>
          <w:bCs/>
          <w:sz w:val="20"/>
          <w:szCs w:val="20"/>
        </w:rPr>
        <w:t>individuate nelle forniture alla PA? Quali strumenti proponete per superarli/migliorarli?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Default="00810508" w:rsidP="00D116CE">
            <w:pPr>
              <w:ind w:left="284"/>
              <w:jc w:val="both"/>
              <w:rPr>
                <w:rFonts w:asciiTheme="minorHAnsi" w:hAnsiTheme="minorHAnsi" w:cs="Arial"/>
                <w:bCs/>
                <w:sz w:val="20"/>
                <w:szCs w:val="20"/>
              </w:rPr>
            </w:pPr>
          </w:p>
        </w:tc>
      </w:tr>
    </w:tbl>
    <w:p w:rsidR="00810508" w:rsidRDefault="00810508" w:rsidP="00810508">
      <w:pPr>
        <w:ind w:left="284"/>
        <w:jc w:val="both"/>
        <w:rPr>
          <w:rFonts w:asciiTheme="minorHAnsi" w:hAnsiTheme="minorHAnsi" w:cs="Arial"/>
          <w:bCs/>
          <w:sz w:val="20"/>
          <w:szCs w:val="20"/>
        </w:rPr>
      </w:pPr>
    </w:p>
    <w:p w:rsidR="00810508" w:rsidRDefault="00810508" w:rsidP="00547D05">
      <w:pPr>
        <w:numPr>
          <w:ilvl w:val="0"/>
          <w:numId w:val="4"/>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Ulteriori segnalazioni a discrezione dell’interessato.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10508" w:rsidTr="00D116CE">
        <w:trPr>
          <w:trHeight w:val="1824"/>
        </w:trPr>
        <w:tc>
          <w:tcPr>
            <w:tcW w:w="8494" w:type="dxa"/>
            <w:shd w:val="clear" w:color="auto" w:fill="F2F2F2" w:themeFill="background1" w:themeFillShade="F2"/>
          </w:tcPr>
          <w:p w:rsidR="00810508" w:rsidRPr="000E4DD2" w:rsidRDefault="00810508" w:rsidP="00D116CE">
            <w:pPr>
              <w:jc w:val="both"/>
              <w:rPr>
                <w:rFonts w:asciiTheme="minorHAnsi" w:hAnsiTheme="minorHAnsi" w:cs="Arial"/>
                <w:bCs/>
                <w:sz w:val="20"/>
                <w:szCs w:val="20"/>
              </w:rPr>
            </w:pPr>
          </w:p>
        </w:tc>
      </w:tr>
    </w:tbl>
    <w:p w:rsidR="00810508" w:rsidRDefault="00810508" w:rsidP="00810508">
      <w:pPr>
        <w:ind w:left="284"/>
        <w:jc w:val="both"/>
        <w:rPr>
          <w:rFonts w:asciiTheme="minorHAnsi" w:hAnsiTheme="minorHAnsi" w:cs="Arial"/>
          <w:bCs/>
          <w:sz w:val="20"/>
          <w:szCs w:val="20"/>
        </w:rPr>
      </w:pPr>
    </w:p>
    <w:p w:rsidR="00810508" w:rsidRDefault="00810508" w:rsidP="00810508">
      <w:pPr>
        <w:ind w:left="284"/>
        <w:jc w:val="both"/>
        <w:rPr>
          <w:rFonts w:ascii="Trebuchet MS" w:hAnsi="Trebuchet MS" w:cs="Arial"/>
          <w:i/>
          <w:color w:val="0000FF"/>
          <w:sz w:val="20"/>
          <w:szCs w:val="20"/>
        </w:rPr>
      </w:pPr>
    </w:p>
    <w:p w:rsidR="00810508" w:rsidRDefault="00810508" w:rsidP="00810508">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810508" w:rsidRDefault="00810508" w:rsidP="00810508">
      <w:pPr>
        <w:jc w:val="both"/>
        <w:rPr>
          <w:rFonts w:ascii="Trebuchet MS" w:hAnsi="Trebuchet MS" w:cs="Arial"/>
          <w:i/>
          <w:color w:val="0000FF"/>
          <w:sz w:val="20"/>
          <w:szCs w:val="20"/>
        </w:rPr>
      </w:pPr>
    </w:p>
    <w:p w:rsidR="00810508" w:rsidRPr="00910C83" w:rsidRDefault="00810508" w:rsidP="00810508">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10508" w:rsidRPr="001E204E" w:rsidTr="00D116C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10508" w:rsidRPr="00BB4433" w:rsidRDefault="00810508" w:rsidP="00D116CE">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810508" w:rsidRPr="00132242" w:rsidTr="00D116CE">
        <w:tc>
          <w:tcPr>
            <w:tcW w:w="2822" w:type="dxa"/>
            <w:tcBorders>
              <w:top w:val="single" w:sz="4" w:space="0" w:color="FFFFFF" w:themeColor="background1"/>
            </w:tcBorders>
            <w:shd w:val="clear" w:color="auto" w:fill="auto"/>
          </w:tcPr>
          <w:p w:rsidR="00810508" w:rsidRPr="000F7A00" w:rsidRDefault="00810508" w:rsidP="00D116CE">
            <w:pPr>
              <w:jc w:val="center"/>
              <w:rPr>
                <w:rFonts w:asciiTheme="minorHAnsi" w:hAnsiTheme="minorHAnsi" w:cs="Arial"/>
                <w:bCs/>
                <w:color w:val="0070C0"/>
                <w:sz w:val="20"/>
                <w:szCs w:val="20"/>
                <w:highlight w:val="yellow"/>
              </w:rPr>
            </w:pPr>
            <w:r w:rsidRPr="000E4DD2">
              <w:rPr>
                <w:rFonts w:asciiTheme="minorHAnsi" w:hAnsiTheme="minorHAnsi" w:cs="Arial"/>
                <w:bCs/>
                <w:sz w:val="20"/>
                <w:szCs w:val="20"/>
              </w:rPr>
              <w:t>[Nome e Cognome]</w:t>
            </w:r>
          </w:p>
        </w:tc>
      </w:tr>
      <w:tr w:rsidR="00810508" w:rsidRPr="00132242" w:rsidTr="00D116CE">
        <w:trPr>
          <w:trHeight w:val="413"/>
        </w:trPr>
        <w:tc>
          <w:tcPr>
            <w:tcW w:w="2822" w:type="dxa"/>
            <w:shd w:val="clear" w:color="auto" w:fill="auto"/>
          </w:tcPr>
          <w:p w:rsidR="00810508" w:rsidRPr="00132242" w:rsidRDefault="00810508" w:rsidP="00D116CE">
            <w:pPr>
              <w:jc w:val="both"/>
              <w:rPr>
                <w:rFonts w:ascii="Trebuchet MS" w:hAnsi="Trebuchet MS" w:cs="Arial"/>
                <w:bCs/>
                <w:i/>
                <w:sz w:val="20"/>
                <w:szCs w:val="20"/>
                <w:highlight w:val="yellow"/>
              </w:rPr>
            </w:pPr>
          </w:p>
          <w:p w:rsidR="00810508" w:rsidRPr="00132242" w:rsidRDefault="00810508" w:rsidP="00D116CE">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810508" w:rsidRDefault="00810508">
      <w:pPr>
        <w:spacing w:line="276" w:lineRule="auto"/>
        <w:jc w:val="both"/>
        <w:rPr>
          <w:rFonts w:asciiTheme="minorHAnsi" w:hAnsiTheme="minorHAnsi" w:cs="Arial"/>
          <w:bCs/>
          <w:sz w:val="20"/>
          <w:szCs w:val="20"/>
        </w:rPr>
      </w:pPr>
    </w:p>
    <w:p w:rsidR="00810508" w:rsidRDefault="00810508">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sidRPr="00423F32">
              <w:rPr>
                <w:rFonts w:asciiTheme="minorHAnsi" w:hAnsiTheme="minorHAnsi" w:cs="Arial"/>
                <w:bCs/>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EC" w:rsidRDefault="000B25EC">
      <w:r>
        <w:separator/>
      </w:r>
    </w:p>
  </w:endnote>
  <w:endnote w:type="continuationSeparator" w:id="0">
    <w:p w:rsidR="000B25EC" w:rsidRDefault="000B25EC">
      <w:r>
        <w:continuationSeparator/>
      </w:r>
    </w:p>
  </w:endnote>
  <w:endnote w:type="continuationNotice" w:id="1">
    <w:p w:rsidR="000B25EC" w:rsidRDefault="000B2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92" w:rsidRPr="00144EF1" w:rsidRDefault="00A82C5B" w:rsidP="00072192">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sidRPr="002A6A9A">
                            <w:rPr>
                              <w:rFonts w:asciiTheme="minorHAnsi" w:hAnsiTheme="minorHAnsi"/>
                              <w:iCs/>
                              <w:color w:val="C0C0C0"/>
                              <w:sz w:val="16"/>
                              <w:szCs w:val="16"/>
                            </w:rPr>
                            <w:t xml:space="preserve">Pag. </w:t>
                          </w:r>
                          <w:r w:rsidRPr="002A6A9A">
                            <w:rPr>
                              <w:rFonts w:asciiTheme="minorHAnsi" w:hAnsiTheme="minorHAnsi"/>
                              <w:iCs/>
                              <w:color w:val="C0C0C0"/>
                              <w:sz w:val="16"/>
                              <w:szCs w:val="16"/>
                            </w:rPr>
                            <w:fldChar w:fldCharType="begin"/>
                          </w:r>
                          <w:r w:rsidRPr="002A6A9A">
                            <w:rPr>
                              <w:rFonts w:asciiTheme="minorHAnsi" w:hAnsiTheme="minorHAnsi"/>
                              <w:iCs/>
                              <w:color w:val="C0C0C0"/>
                              <w:sz w:val="16"/>
                              <w:szCs w:val="16"/>
                            </w:rPr>
                            <w:instrText>PAGE  \* Arabic  \* MERGEFORMAT</w:instrText>
                          </w:r>
                          <w:r w:rsidRPr="002A6A9A">
                            <w:rPr>
                              <w:rFonts w:asciiTheme="minorHAnsi" w:hAnsiTheme="minorHAnsi"/>
                              <w:iCs/>
                              <w:color w:val="C0C0C0"/>
                              <w:sz w:val="16"/>
                              <w:szCs w:val="16"/>
                            </w:rPr>
                            <w:fldChar w:fldCharType="separate"/>
                          </w:r>
                          <w:r w:rsidR="000A4A29">
                            <w:rPr>
                              <w:rFonts w:asciiTheme="minorHAnsi" w:hAnsiTheme="minorHAnsi"/>
                              <w:iCs/>
                              <w:noProof/>
                              <w:color w:val="C0C0C0"/>
                              <w:sz w:val="16"/>
                              <w:szCs w:val="16"/>
                            </w:rPr>
                            <w:t>5</w:t>
                          </w:r>
                          <w:r w:rsidRPr="002A6A9A">
                            <w:rPr>
                              <w:rFonts w:asciiTheme="minorHAnsi" w:hAnsiTheme="minorHAnsi"/>
                              <w:iCs/>
                              <w:color w:val="C0C0C0"/>
                              <w:sz w:val="16"/>
                              <w:szCs w:val="16"/>
                            </w:rPr>
                            <w:fldChar w:fldCharType="end"/>
                          </w:r>
                          <w:r w:rsidRPr="002A6A9A">
                            <w:rPr>
                              <w:rFonts w:asciiTheme="minorHAnsi" w:hAnsiTheme="minorHAnsi"/>
                              <w:iCs/>
                              <w:color w:val="C0C0C0"/>
                              <w:sz w:val="16"/>
                              <w:szCs w:val="16"/>
                            </w:rPr>
                            <w:t xml:space="preserve"> di </w:t>
                          </w:r>
                          <w:r w:rsidRPr="002A6A9A">
                            <w:rPr>
                              <w:rFonts w:asciiTheme="minorHAnsi" w:hAnsiTheme="minorHAnsi"/>
                              <w:iCs/>
                              <w:color w:val="C0C0C0"/>
                              <w:sz w:val="16"/>
                              <w:szCs w:val="16"/>
                            </w:rPr>
                            <w:fldChar w:fldCharType="begin"/>
                          </w:r>
                          <w:r w:rsidRPr="002A6A9A">
                            <w:rPr>
                              <w:rFonts w:asciiTheme="minorHAnsi" w:hAnsiTheme="minorHAnsi"/>
                              <w:iCs/>
                              <w:color w:val="C0C0C0"/>
                              <w:sz w:val="16"/>
                              <w:szCs w:val="16"/>
                            </w:rPr>
                            <w:instrText>NUMPAGES  \* Arabic  \* MERGEFORMAT</w:instrText>
                          </w:r>
                          <w:r w:rsidRPr="002A6A9A">
                            <w:rPr>
                              <w:rFonts w:asciiTheme="minorHAnsi" w:hAnsiTheme="minorHAnsi"/>
                              <w:iCs/>
                              <w:color w:val="C0C0C0"/>
                              <w:sz w:val="16"/>
                              <w:szCs w:val="16"/>
                            </w:rPr>
                            <w:fldChar w:fldCharType="separate"/>
                          </w:r>
                          <w:r w:rsidR="000A4A29">
                            <w:rPr>
                              <w:rFonts w:asciiTheme="minorHAnsi" w:hAnsiTheme="minorHAnsi"/>
                              <w:iCs/>
                              <w:noProof/>
                              <w:color w:val="C0C0C0"/>
                              <w:sz w:val="16"/>
                              <w:szCs w:val="16"/>
                            </w:rPr>
                            <w:t>9</w:t>
                          </w:r>
                          <w:r w:rsidRPr="002A6A9A">
                            <w:rPr>
                              <w:rFonts w:asciiTheme="minorHAnsi" w:hAnsiTheme="minorHAnsi"/>
                              <w:iCs/>
                              <w:color w:val="C0C0C0"/>
                              <w:sz w:val="16"/>
                              <w:szCs w:val="16"/>
                            </w:rPr>
                            <w:fldChar w:fldCharType="end"/>
                          </w:r>
                          <w:r w:rsidRPr="002A6A9A">
                            <w:rPr>
                              <w:rFonts w:asciiTheme="minorHAnsi" w:hAnsiTheme="minorHAnsi"/>
                              <w:iCs/>
                              <w:color w:val="C0C0C0"/>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sidRPr="002A6A9A">
                      <w:rPr>
                        <w:rFonts w:asciiTheme="minorHAnsi" w:hAnsiTheme="minorHAnsi"/>
                        <w:iCs/>
                        <w:color w:val="C0C0C0"/>
                        <w:sz w:val="16"/>
                        <w:szCs w:val="16"/>
                      </w:rPr>
                      <w:t xml:space="preserve">Pag. </w:t>
                    </w:r>
                    <w:r w:rsidRPr="002A6A9A">
                      <w:rPr>
                        <w:rFonts w:asciiTheme="minorHAnsi" w:hAnsiTheme="minorHAnsi"/>
                        <w:iCs/>
                        <w:color w:val="C0C0C0"/>
                        <w:sz w:val="16"/>
                        <w:szCs w:val="16"/>
                      </w:rPr>
                      <w:fldChar w:fldCharType="begin"/>
                    </w:r>
                    <w:r w:rsidRPr="002A6A9A">
                      <w:rPr>
                        <w:rFonts w:asciiTheme="minorHAnsi" w:hAnsiTheme="minorHAnsi"/>
                        <w:iCs/>
                        <w:color w:val="C0C0C0"/>
                        <w:sz w:val="16"/>
                        <w:szCs w:val="16"/>
                      </w:rPr>
                      <w:instrText>PAGE  \* Arabic  \* MERGEFORMAT</w:instrText>
                    </w:r>
                    <w:r w:rsidRPr="002A6A9A">
                      <w:rPr>
                        <w:rFonts w:asciiTheme="minorHAnsi" w:hAnsiTheme="minorHAnsi"/>
                        <w:iCs/>
                        <w:color w:val="C0C0C0"/>
                        <w:sz w:val="16"/>
                        <w:szCs w:val="16"/>
                      </w:rPr>
                      <w:fldChar w:fldCharType="separate"/>
                    </w:r>
                    <w:r w:rsidR="000A4A29">
                      <w:rPr>
                        <w:rFonts w:asciiTheme="minorHAnsi" w:hAnsiTheme="minorHAnsi"/>
                        <w:iCs/>
                        <w:noProof/>
                        <w:color w:val="C0C0C0"/>
                        <w:sz w:val="16"/>
                        <w:szCs w:val="16"/>
                      </w:rPr>
                      <w:t>5</w:t>
                    </w:r>
                    <w:r w:rsidRPr="002A6A9A">
                      <w:rPr>
                        <w:rFonts w:asciiTheme="minorHAnsi" w:hAnsiTheme="minorHAnsi"/>
                        <w:iCs/>
                        <w:color w:val="C0C0C0"/>
                        <w:sz w:val="16"/>
                        <w:szCs w:val="16"/>
                      </w:rPr>
                      <w:fldChar w:fldCharType="end"/>
                    </w:r>
                    <w:r w:rsidRPr="002A6A9A">
                      <w:rPr>
                        <w:rFonts w:asciiTheme="minorHAnsi" w:hAnsiTheme="minorHAnsi"/>
                        <w:iCs/>
                        <w:color w:val="C0C0C0"/>
                        <w:sz w:val="16"/>
                        <w:szCs w:val="16"/>
                      </w:rPr>
                      <w:t xml:space="preserve"> di </w:t>
                    </w:r>
                    <w:r w:rsidRPr="002A6A9A">
                      <w:rPr>
                        <w:rFonts w:asciiTheme="minorHAnsi" w:hAnsiTheme="minorHAnsi"/>
                        <w:iCs/>
                        <w:color w:val="C0C0C0"/>
                        <w:sz w:val="16"/>
                        <w:szCs w:val="16"/>
                      </w:rPr>
                      <w:fldChar w:fldCharType="begin"/>
                    </w:r>
                    <w:r w:rsidRPr="002A6A9A">
                      <w:rPr>
                        <w:rFonts w:asciiTheme="minorHAnsi" w:hAnsiTheme="minorHAnsi"/>
                        <w:iCs/>
                        <w:color w:val="C0C0C0"/>
                        <w:sz w:val="16"/>
                        <w:szCs w:val="16"/>
                      </w:rPr>
                      <w:instrText>NUMPAGES  \* Arabic  \* MERGEFORMAT</w:instrText>
                    </w:r>
                    <w:r w:rsidRPr="002A6A9A">
                      <w:rPr>
                        <w:rFonts w:asciiTheme="minorHAnsi" w:hAnsiTheme="minorHAnsi"/>
                        <w:iCs/>
                        <w:color w:val="C0C0C0"/>
                        <w:sz w:val="16"/>
                        <w:szCs w:val="16"/>
                      </w:rPr>
                      <w:fldChar w:fldCharType="separate"/>
                    </w:r>
                    <w:r w:rsidR="000A4A29">
                      <w:rPr>
                        <w:rFonts w:asciiTheme="minorHAnsi" w:hAnsiTheme="minorHAnsi"/>
                        <w:iCs/>
                        <w:noProof/>
                        <w:color w:val="C0C0C0"/>
                        <w:sz w:val="16"/>
                        <w:szCs w:val="16"/>
                      </w:rPr>
                      <w:t>9</w:t>
                    </w:r>
                    <w:r w:rsidRPr="002A6A9A">
                      <w:rPr>
                        <w:rFonts w:asciiTheme="minorHAnsi" w:hAnsiTheme="minorHAnsi"/>
                        <w:iCs/>
                        <w:color w:val="C0C0C0"/>
                        <w:sz w:val="16"/>
                        <w:szCs w:val="16"/>
                      </w:rPr>
                      <w:fldChar w:fldCharType="end"/>
                    </w:r>
                    <w:r w:rsidRPr="002A6A9A">
                      <w:rPr>
                        <w:rFonts w:asciiTheme="minorHAnsi" w:hAnsiTheme="minorHAnsi"/>
                        <w:iCs/>
                        <w:color w:val="C0C0C0"/>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Consultazione del mercato per</w:t>
    </w:r>
    <w:r w:rsidR="00072192">
      <w:rPr>
        <w:rFonts w:asciiTheme="minorHAnsi" w:hAnsiTheme="minorHAnsi"/>
        <w:iCs/>
        <w:color w:val="C0C0C0"/>
        <w:sz w:val="16"/>
        <w:szCs w:val="16"/>
      </w:rPr>
      <w:t xml:space="preserve"> </w:t>
    </w:r>
    <w:r w:rsidR="00072192" w:rsidRPr="00144EF1">
      <w:rPr>
        <w:rFonts w:asciiTheme="minorHAnsi" w:hAnsiTheme="minorHAnsi"/>
        <w:iCs/>
        <w:color w:val="C0C0C0"/>
        <w:sz w:val="16"/>
        <w:szCs w:val="16"/>
      </w:rPr>
      <w:t xml:space="preserve">la gara per la fornitura di energia elettrica </w:t>
    </w:r>
  </w:p>
  <w:p w:rsidR="00072192" w:rsidRPr="00E06C79" w:rsidRDefault="00072192" w:rsidP="00072192">
    <w:pPr>
      <w:pStyle w:val="Pidipagina"/>
      <w:pBdr>
        <w:top w:val="single" w:sz="4" w:space="1" w:color="auto"/>
      </w:pBdr>
      <w:rPr>
        <w:rFonts w:asciiTheme="minorHAnsi" w:hAnsiTheme="minorHAnsi"/>
        <w:color w:val="FF0000"/>
        <w:sz w:val="16"/>
        <w:szCs w:val="16"/>
      </w:rPr>
    </w:pPr>
    <w:r w:rsidRPr="00144EF1">
      <w:rPr>
        <w:rFonts w:asciiTheme="minorHAnsi" w:hAnsiTheme="minorHAnsi"/>
        <w:iCs/>
        <w:color w:val="C0C0C0"/>
        <w:sz w:val="16"/>
        <w:szCs w:val="16"/>
      </w:rPr>
      <w:t>e dei servizi connessi per le Pubbliche Amministrazioni</w:t>
    </w:r>
    <w:r>
      <w:rPr>
        <w:rFonts w:asciiTheme="minorHAnsi" w:hAnsiTheme="minorHAnsi"/>
        <w:iCs/>
        <w:color w:val="C0C0C0"/>
        <w:sz w:val="16"/>
        <w:szCs w:val="16"/>
      </w:rPr>
      <w:t xml:space="preserve"> - edizione 22</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sidRPr="00EF0EFF">
      <w:rPr>
        <w:rFonts w:ascii="Calibri" w:hAnsi="Calibri"/>
        <w:color w:val="808080"/>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/o C.</w:t>
    </w:r>
    <w:r w:rsidR="00EF0EFF">
      <w:rPr>
        <w:rFonts w:ascii="Calibri" w:hAnsi="Calibri"/>
        <w:color w:val="808080"/>
        <w:sz w:val="16"/>
        <w:szCs w:val="16"/>
      </w:rPr>
      <w:t>C</w:t>
    </w:r>
    <w:r>
      <w:rPr>
        <w:rFonts w:ascii="Calibri" w:hAnsi="Calibri"/>
        <w:color w:val="808080"/>
        <w:sz w:val="16"/>
        <w:szCs w:val="16"/>
      </w:rPr>
      <w:t xml:space="preserve">.I.A.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EC" w:rsidRDefault="000B25EC">
      <w:r>
        <w:separator/>
      </w:r>
    </w:p>
  </w:footnote>
  <w:footnote w:type="continuationSeparator" w:id="0">
    <w:p w:rsidR="000B25EC" w:rsidRDefault="000B25EC">
      <w:r>
        <w:continuationSeparator/>
      </w:r>
    </w:p>
  </w:footnote>
  <w:footnote w:type="continuationNotice" w:id="1">
    <w:p w:rsidR="000B25EC" w:rsidRDefault="000B25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C0F528F"/>
    <w:multiLevelType w:val="hybridMultilevel"/>
    <w:tmpl w:val="DEC0E5E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8E31428"/>
    <w:multiLevelType w:val="hybridMultilevel"/>
    <w:tmpl w:val="FC46C3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5F33E7E"/>
    <w:multiLevelType w:val="hybridMultilevel"/>
    <w:tmpl w:val="71683E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6B5D"/>
    <w:rsid w:val="00072192"/>
    <w:rsid w:val="000A4A29"/>
    <w:rsid w:val="000B25EC"/>
    <w:rsid w:val="002A6A9A"/>
    <w:rsid w:val="00362264"/>
    <w:rsid w:val="004039F8"/>
    <w:rsid w:val="00423F32"/>
    <w:rsid w:val="004837DB"/>
    <w:rsid w:val="004A5686"/>
    <w:rsid w:val="004E1C8B"/>
    <w:rsid w:val="00547D05"/>
    <w:rsid w:val="005E6075"/>
    <w:rsid w:val="0068186E"/>
    <w:rsid w:val="006C414B"/>
    <w:rsid w:val="00712E2C"/>
    <w:rsid w:val="00810508"/>
    <w:rsid w:val="008B6850"/>
    <w:rsid w:val="0091172C"/>
    <w:rsid w:val="009659F8"/>
    <w:rsid w:val="00A82C5B"/>
    <w:rsid w:val="00AA1200"/>
    <w:rsid w:val="00AA7587"/>
    <w:rsid w:val="00AF7473"/>
    <w:rsid w:val="00B44D9B"/>
    <w:rsid w:val="00B87245"/>
    <w:rsid w:val="00BB10C9"/>
    <w:rsid w:val="00CD006C"/>
    <w:rsid w:val="00CF5C11"/>
    <w:rsid w:val="00D06536"/>
    <w:rsid w:val="00D13188"/>
    <w:rsid w:val="00DF3B22"/>
    <w:rsid w:val="00E57C36"/>
    <w:rsid w:val="00EF0EFF"/>
    <w:rsid w:val="00F32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D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3A3B-710F-4EDF-B1B2-B4EF150B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11869</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2024-02-26T09:53:00Z</dcterms:created>
  <dcterms:modified xsi:type="dcterms:W3CDTF">2024-02-28T17:06:00Z</dcterms:modified>
</cp:coreProperties>
</file>